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8F6CB3" w14:textId="77777777" w:rsidR="00286A95" w:rsidRPr="007F5E62" w:rsidRDefault="00AB7484" w:rsidP="00C831C9">
      <w:pPr>
        <w:spacing w:line="420" w:lineRule="auto"/>
        <w:jc w:val="center"/>
        <w:rPr>
          <w:rFonts w:ascii="HY견명조" w:eastAsia="HY견명조" w:hAnsi="나눔고딕" w:cs="나눔고딕"/>
          <w:sz w:val="46"/>
          <w:szCs w:val="46"/>
        </w:rPr>
      </w:pPr>
      <w:bookmarkStart w:id="0" w:name="_Hlk72946315"/>
      <w:r w:rsidRPr="007F5E62">
        <w:rPr>
          <w:rFonts w:ascii="HY견명조" w:eastAsia="HY견명조" w:hAnsi="나눔고딕" w:cs="나눔고딕" w:hint="eastAsia"/>
          <w:sz w:val="46"/>
          <w:szCs w:val="46"/>
        </w:rPr>
        <w:t>애널리스트의 커버리지가 기업 혁신 활동에 미치는 순기능</w:t>
      </w:r>
    </w:p>
    <w:p w14:paraId="2AD99C74" w14:textId="3AD1E08E" w:rsidR="00286A95" w:rsidRPr="007F5E62" w:rsidRDefault="00286A95" w:rsidP="00C831C9">
      <w:pPr>
        <w:spacing w:line="420" w:lineRule="auto"/>
        <w:jc w:val="both"/>
        <w:rPr>
          <w:rFonts w:ascii="HY신명조" w:eastAsia="HY신명조" w:hAnsi="나눔고딕" w:cs="나눔고딕"/>
          <w:sz w:val="20"/>
          <w:szCs w:val="20"/>
          <w:lang w:val="en-US"/>
        </w:rPr>
      </w:pPr>
    </w:p>
    <w:p w14:paraId="47FC8AFF" w14:textId="24A4D267" w:rsidR="00FA4927" w:rsidRPr="00436097" w:rsidRDefault="00FA4927" w:rsidP="00C831C9">
      <w:pPr>
        <w:spacing w:line="420" w:lineRule="auto"/>
        <w:jc w:val="both"/>
        <w:rPr>
          <w:rFonts w:ascii="HY신명조" w:eastAsia="HY신명조" w:hAnsi="나눔고딕" w:cs="나눔고딕"/>
          <w:sz w:val="20"/>
          <w:szCs w:val="20"/>
        </w:rPr>
      </w:pPr>
      <w:r w:rsidRPr="00436097">
        <w:rPr>
          <w:rFonts w:ascii="HY신명조" w:eastAsia="HY신명조" w:hAnsi="나눔고딕" w:cs="나눔고딕" w:hint="eastAsia"/>
          <w:sz w:val="20"/>
          <w:szCs w:val="20"/>
        </w:rPr>
        <w:t>제출날짜: 2021년 5월 2</w:t>
      </w:r>
      <w:r w:rsidR="002D746F">
        <w:rPr>
          <w:rFonts w:ascii="HY신명조" w:eastAsia="HY신명조" w:hAnsi="나눔고딕" w:cs="나눔고딕" w:hint="eastAsia"/>
          <w:sz w:val="20"/>
          <w:szCs w:val="20"/>
        </w:rPr>
        <w:t>8</w:t>
      </w:r>
      <w:r w:rsidRPr="00436097">
        <w:rPr>
          <w:rFonts w:ascii="HY신명조" w:eastAsia="HY신명조" w:hAnsi="나눔고딕" w:cs="나눔고딕" w:hint="eastAsia"/>
          <w:sz w:val="20"/>
          <w:szCs w:val="20"/>
        </w:rPr>
        <w:t>일</w:t>
      </w:r>
    </w:p>
    <w:p w14:paraId="20A07D88" w14:textId="77777777" w:rsidR="00FA4927" w:rsidRPr="00436097" w:rsidRDefault="00FA4927" w:rsidP="00C831C9">
      <w:pPr>
        <w:spacing w:line="420" w:lineRule="auto"/>
        <w:jc w:val="both"/>
        <w:rPr>
          <w:rFonts w:ascii="HY신명조" w:eastAsia="HY신명조" w:hAnsi="나눔고딕" w:cs="나눔고딕"/>
          <w:sz w:val="20"/>
          <w:szCs w:val="20"/>
          <w:lang w:val="en-US"/>
        </w:rPr>
      </w:pPr>
    </w:p>
    <w:p w14:paraId="0C108607" w14:textId="039B0519" w:rsidR="00FA4927" w:rsidRPr="00240BC2" w:rsidRDefault="00AB7484" w:rsidP="00C577B1">
      <w:pPr>
        <w:spacing w:line="420" w:lineRule="auto"/>
        <w:jc w:val="both"/>
        <w:rPr>
          <w:rFonts w:ascii="HY신명조" w:eastAsia="HY신명조" w:hAnsi="나눔고딕" w:cs="나눔고딕"/>
          <w:color w:val="000000" w:themeColor="text1"/>
          <w:sz w:val="20"/>
          <w:szCs w:val="20"/>
        </w:rPr>
      </w:pPr>
      <w:r w:rsidRPr="00240BC2">
        <w:rPr>
          <w:rFonts w:ascii="HY신명조" w:eastAsia="HY신명조" w:hAnsi="나눔고딕" w:cs="나눔고딕" w:hint="eastAsia"/>
          <w:color w:val="000000" w:themeColor="text1"/>
          <w:sz w:val="20"/>
          <w:szCs w:val="20"/>
        </w:rPr>
        <w:t>이승훈</w:t>
      </w:r>
      <w:r w:rsidR="00C577B1" w:rsidRPr="00240BC2">
        <w:rPr>
          <w:rFonts w:ascii="HY신명조" w:eastAsia="HY신명조" w:hAnsi="나눔고딕" w:cs="나눔고딕" w:hint="eastAsia"/>
          <w:color w:val="000000" w:themeColor="text1"/>
          <w:sz w:val="20"/>
          <w:szCs w:val="20"/>
        </w:rPr>
        <w:t>:</w:t>
      </w:r>
      <w:r w:rsidR="00C577B1" w:rsidRPr="00240BC2">
        <w:rPr>
          <w:rFonts w:ascii="HY신명조" w:eastAsia="HY신명조" w:hAnsi="나눔고딕" w:cs="나눔고딕"/>
          <w:color w:val="000000" w:themeColor="text1"/>
          <w:sz w:val="20"/>
          <w:szCs w:val="20"/>
        </w:rPr>
        <w:t xml:space="preserve"> </w:t>
      </w:r>
      <w:r w:rsidR="00FA4927" w:rsidRPr="00240BC2">
        <w:rPr>
          <w:rFonts w:ascii="HY신명조" w:eastAsia="HY신명조" w:hAnsi="돋움" w:cs="Arial Unicode MS" w:hint="eastAsia"/>
          <w:color w:val="000000" w:themeColor="text1"/>
          <w:sz w:val="20"/>
          <w:szCs w:val="20"/>
        </w:rPr>
        <w:t xml:space="preserve">숭실대학교 일반대학원 경영학 박사과정, </w:t>
      </w:r>
      <w:hyperlink r:id="rId8" w:history="1">
        <w:r w:rsidR="00FA4927" w:rsidRPr="00240BC2">
          <w:rPr>
            <w:rStyle w:val="af1"/>
            <w:rFonts w:ascii="HY신명조" w:eastAsia="HY신명조" w:hAnsi="돋움" w:cs="Arial Unicode MS" w:hint="eastAsia"/>
            <w:color w:val="000000" w:themeColor="text1"/>
            <w:sz w:val="20"/>
            <w:szCs w:val="20"/>
          </w:rPr>
          <w:t>dozed@naver.com</w:t>
        </w:r>
      </w:hyperlink>
      <w:r w:rsidR="00FA4927" w:rsidRPr="00240BC2">
        <w:rPr>
          <w:rFonts w:ascii="HY신명조" w:eastAsia="HY신명조" w:hAnsi="돋움" w:cs="Arial Unicode MS" w:hint="eastAsia"/>
          <w:color w:val="000000" w:themeColor="text1"/>
          <w:sz w:val="20"/>
          <w:szCs w:val="20"/>
        </w:rPr>
        <w:t>(주저자)</w:t>
      </w:r>
      <w:r w:rsidR="00750084" w:rsidRPr="00240BC2">
        <w:rPr>
          <w:rFonts w:ascii="HY신명조" w:eastAsia="HY신명조" w:hAnsi="나눔고딕" w:cs="나눔고딕" w:hint="eastAsia"/>
          <w:color w:val="000000" w:themeColor="text1"/>
          <w:sz w:val="20"/>
          <w:szCs w:val="20"/>
        </w:rPr>
        <w:t xml:space="preserve"> </w:t>
      </w:r>
    </w:p>
    <w:p w14:paraId="7953E8A7" w14:textId="3770CE3C" w:rsidR="00286A95" w:rsidRPr="00240BC2" w:rsidRDefault="002D2627" w:rsidP="00C577B1">
      <w:pPr>
        <w:spacing w:line="420" w:lineRule="auto"/>
        <w:jc w:val="both"/>
        <w:rPr>
          <w:rFonts w:ascii="HY신명조" w:eastAsia="HY신명조" w:hAnsi="나눔고딕" w:cs="나눔고딕"/>
          <w:color w:val="000000" w:themeColor="text1"/>
          <w:sz w:val="20"/>
          <w:szCs w:val="20"/>
        </w:rPr>
      </w:pPr>
      <w:r w:rsidRPr="00240BC2">
        <w:rPr>
          <w:rFonts w:ascii="HY신명조" w:eastAsia="HY신명조" w:hAnsi="나눔고딕" w:cs="나눔고딕" w:hint="eastAsia"/>
          <w:color w:val="000000" w:themeColor="text1"/>
          <w:sz w:val="20"/>
          <w:szCs w:val="20"/>
        </w:rPr>
        <w:t>김수현</w:t>
      </w:r>
      <w:r w:rsidR="00C577B1" w:rsidRPr="00240BC2">
        <w:rPr>
          <w:rFonts w:ascii="HY신명조" w:eastAsia="HY신명조" w:hAnsi="나눔고딕" w:cs="나눔고딕" w:hint="eastAsia"/>
          <w:color w:val="000000" w:themeColor="text1"/>
          <w:sz w:val="20"/>
          <w:szCs w:val="20"/>
        </w:rPr>
        <w:t>:</w:t>
      </w:r>
      <w:r w:rsidR="00C577B1" w:rsidRPr="00240BC2">
        <w:rPr>
          <w:rFonts w:ascii="HY신명조" w:eastAsia="HY신명조" w:hAnsi="나눔고딕" w:cs="나눔고딕"/>
          <w:color w:val="000000" w:themeColor="text1"/>
          <w:sz w:val="20"/>
          <w:szCs w:val="20"/>
        </w:rPr>
        <w:t xml:space="preserve"> </w:t>
      </w:r>
      <w:r w:rsidR="00FA4927" w:rsidRPr="00240BC2">
        <w:rPr>
          <w:rFonts w:ascii="HY신명조" w:eastAsia="HY신명조" w:hAnsi="돋움" w:hint="eastAsia"/>
          <w:color w:val="000000" w:themeColor="text1"/>
          <w:sz w:val="20"/>
          <w:szCs w:val="20"/>
          <w:lang w:val="en-US"/>
        </w:rPr>
        <w:t xml:space="preserve">숭실대학교 경영학부 교수, </w:t>
      </w:r>
      <w:hyperlink r:id="rId9" w:history="1">
        <w:r w:rsidR="00FA4927" w:rsidRPr="00240BC2">
          <w:rPr>
            <w:rStyle w:val="af1"/>
            <w:rFonts w:ascii="HY신명조" w:eastAsia="HY신명조" w:hAnsi="돋움" w:hint="eastAsia"/>
            <w:color w:val="000000" w:themeColor="text1"/>
            <w:sz w:val="20"/>
            <w:szCs w:val="20"/>
            <w:lang w:val="en-US"/>
          </w:rPr>
          <w:t>soo_hyun.kim@ssu.ac.kr</w:t>
        </w:r>
      </w:hyperlink>
      <w:r w:rsidR="00FA4927" w:rsidRPr="00240BC2">
        <w:rPr>
          <w:rFonts w:ascii="HY신명조" w:eastAsia="HY신명조" w:hAnsi="돋움" w:hint="eastAsia"/>
          <w:color w:val="000000" w:themeColor="text1"/>
          <w:sz w:val="20"/>
          <w:szCs w:val="20"/>
          <w:lang w:val="en-US"/>
        </w:rPr>
        <w:t>(교신저자)</w:t>
      </w:r>
    </w:p>
    <w:p w14:paraId="500310D9" w14:textId="77777777" w:rsidR="00FA4927" w:rsidRPr="007F5E62" w:rsidRDefault="00FA4927" w:rsidP="00C831C9">
      <w:pPr>
        <w:spacing w:line="420" w:lineRule="auto"/>
        <w:jc w:val="both"/>
        <w:rPr>
          <w:rFonts w:ascii="HY신명조" w:eastAsia="HY신명조" w:hAnsi="나눔고딕" w:cs="나눔고딕"/>
          <w:sz w:val="20"/>
          <w:szCs w:val="20"/>
        </w:rPr>
      </w:pPr>
    </w:p>
    <w:p w14:paraId="20AA3EC8" w14:textId="5F00B76E" w:rsidR="00FA4927" w:rsidRPr="00436097" w:rsidRDefault="00FA4927" w:rsidP="00C831C9">
      <w:pPr>
        <w:spacing w:line="420" w:lineRule="auto"/>
        <w:jc w:val="center"/>
        <w:rPr>
          <w:rFonts w:ascii="HY견명조" w:eastAsia="HY견명조" w:hAnsi="나눔고딕" w:cs="나눔고딕"/>
          <w:sz w:val="46"/>
          <w:szCs w:val="46"/>
          <w:lang w:val="en-US"/>
        </w:rPr>
      </w:pPr>
      <w:r w:rsidRPr="00436097">
        <w:rPr>
          <w:rFonts w:ascii="HY견명조" w:eastAsia="HY견명조" w:hAnsi="나눔고딕" w:cs="나눔고딕" w:hint="eastAsia"/>
          <w:sz w:val="46"/>
          <w:szCs w:val="46"/>
          <w:lang w:val="en-US"/>
        </w:rPr>
        <w:t>The positive effects of analyst coverage on corporate innovation activities</w:t>
      </w:r>
    </w:p>
    <w:p w14:paraId="3989CF87" w14:textId="77777777" w:rsidR="00750084" w:rsidRPr="007F5E62" w:rsidRDefault="00750084" w:rsidP="00C831C9">
      <w:pPr>
        <w:spacing w:line="420" w:lineRule="auto"/>
        <w:jc w:val="both"/>
        <w:rPr>
          <w:rFonts w:ascii="HY신명조" w:eastAsia="HY신명조" w:hAnsi="나눔고딕" w:cs="나눔고딕"/>
          <w:sz w:val="20"/>
          <w:szCs w:val="20"/>
          <w:lang w:val="en-US"/>
        </w:rPr>
      </w:pPr>
    </w:p>
    <w:p w14:paraId="544BF3CA" w14:textId="77777777" w:rsidR="00750084" w:rsidRPr="007F5E62" w:rsidRDefault="00FA4927" w:rsidP="00C831C9">
      <w:pPr>
        <w:spacing w:line="420" w:lineRule="auto"/>
        <w:jc w:val="both"/>
        <w:rPr>
          <w:rFonts w:ascii="HY신명조" w:eastAsia="HY신명조" w:hAnsi="나눔고딕" w:cs="나눔고딕"/>
          <w:sz w:val="20"/>
          <w:szCs w:val="20"/>
          <w:lang w:val="en-US"/>
        </w:rPr>
      </w:pPr>
      <w:r w:rsidRPr="007F5E62">
        <w:rPr>
          <w:rFonts w:ascii="HY신명조" w:eastAsia="HY신명조" w:hAnsi="나눔고딕" w:cs="나눔고딕" w:hint="eastAsia"/>
          <w:sz w:val="20"/>
          <w:szCs w:val="20"/>
          <w:lang w:val="en-US"/>
        </w:rPr>
        <w:t>Lee, Seunghoon</w:t>
      </w:r>
    </w:p>
    <w:p w14:paraId="3B25FDD9" w14:textId="00D45D62" w:rsidR="00FA4927" w:rsidRPr="007F5E62" w:rsidRDefault="00FA4927" w:rsidP="00C831C9">
      <w:pPr>
        <w:spacing w:line="420" w:lineRule="auto"/>
        <w:jc w:val="both"/>
        <w:rPr>
          <w:rFonts w:ascii="HY신명조" w:eastAsia="HY신명조" w:hAnsi="나눔고딕" w:cs="나눔고딕"/>
          <w:sz w:val="20"/>
          <w:szCs w:val="20"/>
          <w:lang w:val="en-US"/>
        </w:rPr>
      </w:pPr>
      <w:r w:rsidRPr="007F5E62">
        <w:rPr>
          <w:rFonts w:ascii="HY신명조" w:eastAsia="HY신명조" w:hAnsi="나눔고딕" w:cs="나눔고딕" w:hint="eastAsia"/>
          <w:sz w:val="20"/>
          <w:szCs w:val="20"/>
          <w:lang w:val="en-US"/>
        </w:rPr>
        <w:t>Kim, Soo-Hyun</w:t>
      </w:r>
    </w:p>
    <w:bookmarkEnd w:id="0"/>
    <w:p w14:paraId="3D485738" w14:textId="3CF64D5F" w:rsidR="00C416F0" w:rsidRPr="007F5E62" w:rsidRDefault="00C416F0" w:rsidP="00C831C9">
      <w:pPr>
        <w:spacing w:line="420" w:lineRule="auto"/>
        <w:jc w:val="both"/>
        <w:rPr>
          <w:rFonts w:ascii="HY신명조" w:eastAsia="HY신명조" w:hAnsi="나눔고딕" w:cs="나눔고딕"/>
          <w:sz w:val="20"/>
          <w:szCs w:val="20"/>
          <w:lang w:val="en-US"/>
        </w:rPr>
      </w:pPr>
      <w:r w:rsidRPr="007F5E62">
        <w:rPr>
          <w:rFonts w:ascii="HY신명조" w:eastAsia="HY신명조" w:hAnsi="나눔고딕" w:cs="나눔고딕" w:hint="eastAsia"/>
          <w:sz w:val="20"/>
          <w:szCs w:val="20"/>
          <w:lang w:val="en-US"/>
        </w:rPr>
        <w:br w:type="page"/>
      </w:r>
    </w:p>
    <w:p w14:paraId="22A67F70" w14:textId="77777777" w:rsidR="00286A95" w:rsidRPr="007F5E62" w:rsidRDefault="00AB7484" w:rsidP="00C831C9">
      <w:pP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lastRenderedPageBreak/>
        <w:t>국 문 요 약</w:t>
      </w:r>
    </w:p>
    <w:p w14:paraId="6873B8A3" w14:textId="77777777" w:rsidR="00286A95" w:rsidRPr="007F5E62" w:rsidRDefault="00286A95" w:rsidP="00A90DD1">
      <w:pPr>
        <w:spacing w:line="420" w:lineRule="auto"/>
        <w:rPr>
          <w:rFonts w:ascii="HY신명조" w:eastAsia="HY신명조" w:hAnsi="나눔고딕" w:cs="나눔고딕"/>
          <w:sz w:val="20"/>
          <w:szCs w:val="20"/>
        </w:rPr>
      </w:pPr>
    </w:p>
    <w:p w14:paraId="3CF929AD" w14:textId="2E422C89" w:rsidR="00286A95" w:rsidRPr="007F5E62" w:rsidRDefault="00AB7484" w:rsidP="00A90DD1">
      <w:pPr>
        <w:spacing w:line="420" w:lineRule="auto"/>
        <w:jc w:val="both"/>
        <w:rPr>
          <w:rFonts w:ascii="HY신명조" w:eastAsia="HY신명조" w:hAnsi="나눔고딕" w:cs="나눔고딕"/>
          <w:sz w:val="17"/>
          <w:szCs w:val="17"/>
        </w:rPr>
      </w:pPr>
      <w:r w:rsidRPr="007F5E62">
        <w:rPr>
          <w:rFonts w:ascii="HY신명조" w:eastAsia="HY신명조" w:hAnsi="나눔고딕" w:cs="나눔고딕" w:hint="eastAsia"/>
          <w:sz w:val="17"/>
          <w:szCs w:val="17"/>
        </w:rPr>
        <w:t>본 연구</w:t>
      </w:r>
      <w:r w:rsidR="00FD0E62" w:rsidRPr="007F5E62">
        <w:rPr>
          <w:rFonts w:ascii="HY신명조" w:eastAsia="HY신명조" w:hAnsi="나눔고딕" w:cs="나눔고딕" w:hint="eastAsia"/>
          <w:sz w:val="17"/>
          <w:szCs w:val="17"/>
        </w:rPr>
        <w:t>는</w:t>
      </w:r>
      <w:r w:rsidRPr="007F5E62">
        <w:rPr>
          <w:rFonts w:ascii="HY신명조" w:eastAsia="HY신명조" w:hAnsi="나눔고딕" w:cs="나눔고딕" w:hint="eastAsia"/>
          <w:sz w:val="17"/>
          <w:szCs w:val="17"/>
        </w:rPr>
        <w:t xml:space="preserve"> 주식 시장의 애널리스트(sell side)가 상장 기업의 기술혁신에 미치는 영향을 </w:t>
      </w:r>
      <w:r w:rsidR="00F9452D" w:rsidRPr="007F5E62">
        <w:rPr>
          <w:rFonts w:ascii="HY신명조" w:eastAsia="HY신명조" w:hAnsi="나눔고딕" w:cs="나눔고딕" w:hint="eastAsia"/>
          <w:sz w:val="17"/>
          <w:szCs w:val="17"/>
        </w:rPr>
        <w:t>검증한다</w:t>
      </w:r>
      <w:r w:rsidRPr="007F5E62">
        <w:rPr>
          <w:rFonts w:ascii="HY신명조" w:eastAsia="HY신명조" w:hAnsi="나눔고딕" w:cs="나눔고딕" w:hint="eastAsia"/>
          <w:sz w:val="17"/>
          <w:szCs w:val="17"/>
        </w:rPr>
        <w:t xml:space="preserve">. </w:t>
      </w:r>
      <w:r w:rsidR="00F9452D" w:rsidRPr="007F5E62">
        <w:rPr>
          <w:rFonts w:ascii="HY신명조" w:eastAsia="HY신명조" w:hAnsi="나눔고딕" w:cs="나눔고딕" w:hint="eastAsia"/>
          <w:sz w:val="17"/>
          <w:szCs w:val="17"/>
        </w:rPr>
        <w:t xml:space="preserve">국내 상장사를 대상으로 그 인과관계를 처음 검증했으며 </w:t>
      </w:r>
      <w:r w:rsidR="00534A41" w:rsidRPr="007F5E62">
        <w:rPr>
          <w:rFonts w:ascii="HY신명조" w:eastAsia="HY신명조" w:hAnsi="나눔고딕" w:cs="나눔고딕" w:hint="eastAsia"/>
          <w:sz w:val="17"/>
          <w:szCs w:val="17"/>
        </w:rPr>
        <w:t>미국의 케이스와 상이한 결과를 도출하고 구조적으로 그 이유를 추론</w:t>
      </w:r>
      <w:r w:rsidR="00A268C9" w:rsidRPr="007F5E62">
        <w:rPr>
          <w:rFonts w:ascii="HY신명조" w:eastAsia="HY신명조" w:hAnsi="나눔고딕" w:cs="나눔고딕" w:hint="eastAsia"/>
          <w:sz w:val="17"/>
          <w:szCs w:val="17"/>
        </w:rPr>
        <w:t xml:space="preserve">하였고, </w:t>
      </w:r>
      <w:r w:rsidR="00F9452D" w:rsidRPr="007F5E62">
        <w:rPr>
          <w:rFonts w:ascii="HY신명조" w:eastAsia="HY신명조" w:hAnsi="나눔고딕" w:cs="나눔고딕" w:hint="eastAsia"/>
          <w:sz w:val="17"/>
          <w:szCs w:val="17"/>
        </w:rPr>
        <w:t xml:space="preserve">한국 주식시장에서는 애널리스트의 커버리지가 기업혁신에 긍정적인 영향을 준다는 커다란 시사점을 준다. </w:t>
      </w:r>
      <w:r w:rsidRPr="007F5E62">
        <w:rPr>
          <w:rFonts w:ascii="HY신명조" w:eastAsia="HY신명조" w:hAnsi="나눔고딕" w:cs="나눔고딕" w:hint="eastAsia"/>
          <w:sz w:val="17"/>
          <w:szCs w:val="17"/>
        </w:rPr>
        <w:t>본 연구는 에프앤가이드의 국내 애널리스트의 커버리지 데이터(2003~2013년)와 특허정보넷 키프리스에서 제공하는 국내 특허 데이터(2003~2013년)</w:t>
      </w:r>
      <w:r w:rsidR="00B320DF" w:rsidRPr="007F5E62">
        <w:rPr>
          <w:rFonts w:ascii="HY신명조" w:eastAsia="HY신명조" w:hAnsi="나눔고딕" w:cs="나눔고딕" w:hint="eastAsia"/>
          <w:sz w:val="17"/>
          <w:szCs w:val="17"/>
        </w:rPr>
        <w:t>을 기반으로 한</w:t>
      </w:r>
      <w:r w:rsidRPr="007F5E62">
        <w:rPr>
          <w:rFonts w:ascii="HY신명조" w:eastAsia="HY신명조" w:hAnsi="나눔고딕" w:cs="나눔고딕" w:hint="eastAsia"/>
          <w:sz w:val="17"/>
          <w:szCs w:val="17"/>
        </w:rPr>
        <w:t xml:space="preserve"> 방대한 통계작업</w:t>
      </w:r>
      <w:r w:rsidR="00311936" w:rsidRPr="007F5E62">
        <w:rPr>
          <w:rFonts w:ascii="HY신명조" w:eastAsia="HY신명조" w:hAnsi="나눔고딕" w:cs="나눔고딕" w:hint="eastAsia"/>
          <w:sz w:val="17"/>
          <w:szCs w:val="17"/>
        </w:rPr>
        <w:t>에서 정리된</w:t>
      </w:r>
      <w:r w:rsidRPr="007F5E62">
        <w:rPr>
          <w:rFonts w:ascii="HY신명조" w:eastAsia="HY신명조" w:hAnsi="나눔고딕" w:cs="나눔고딕" w:hint="eastAsia"/>
          <w:sz w:val="17"/>
          <w:szCs w:val="17"/>
        </w:rPr>
        <w:t xml:space="preserve"> 패널데이터를 기반으로 </w:t>
      </w:r>
      <w:r w:rsidR="00802764">
        <w:rPr>
          <w:rFonts w:ascii="HY신명조" w:eastAsia="HY신명조" w:hAnsi="나눔고딕" w:cs="나눔고딕" w:hint="eastAsia"/>
          <w:sz w:val="17"/>
          <w:szCs w:val="17"/>
        </w:rPr>
        <w:t>진행</w:t>
      </w:r>
      <w:r w:rsidR="00A13880" w:rsidRPr="007F5E62">
        <w:rPr>
          <w:rFonts w:ascii="HY신명조" w:eastAsia="HY신명조" w:hAnsi="나눔고딕" w:cs="나눔고딕" w:hint="eastAsia"/>
          <w:sz w:val="17"/>
          <w:szCs w:val="17"/>
        </w:rPr>
        <w:t xml:space="preserve">한 </w:t>
      </w:r>
      <w:r w:rsidR="00B320DF" w:rsidRPr="007F5E62">
        <w:rPr>
          <w:rFonts w:ascii="HY신명조" w:eastAsia="HY신명조" w:hAnsi="나눔고딕" w:cs="나눔고딕" w:hint="eastAsia"/>
          <w:sz w:val="17"/>
          <w:szCs w:val="17"/>
        </w:rPr>
        <w:t>패널</w:t>
      </w:r>
      <w:r w:rsidRPr="007F5E62">
        <w:rPr>
          <w:rFonts w:ascii="HY신명조" w:eastAsia="HY신명조" w:hAnsi="나눔고딕" w:cs="나눔고딕" w:hint="eastAsia"/>
          <w:sz w:val="17"/>
          <w:szCs w:val="17"/>
        </w:rPr>
        <w:t xml:space="preserve">회귀분석을 </w:t>
      </w:r>
      <w:r w:rsidR="00A13880" w:rsidRPr="007F5E62">
        <w:rPr>
          <w:rFonts w:ascii="HY신명조" w:eastAsia="HY신명조" w:hAnsi="나눔고딕" w:cs="나눔고딕" w:hint="eastAsia"/>
          <w:sz w:val="17"/>
          <w:szCs w:val="17"/>
        </w:rPr>
        <w:t>통해</w:t>
      </w:r>
      <w:r w:rsidRPr="007F5E62">
        <w:rPr>
          <w:rFonts w:ascii="HY신명조" w:eastAsia="HY신명조" w:hAnsi="나눔고딕" w:cs="나눔고딕" w:hint="eastAsia"/>
          <w:sz w:val="17"/>
          <w:szCs w:val="17"/>
        </w:rPr>
        <w:t xml:space="preserve"> 애널리스트의 커버리지와 기업의 특허수</w:t>
      </w:r>
      <w:r w:rsidR="00802764">
        <w:rPr>
          <w:rFonts w:ascii="HY신명조" w:eastAsia="HY신명조" w:hAnsi="나눔고딕" w:cs="나눔고딕" w:hint="eastAsia"/>
          <w:sz w:val="17"/>
          <w:szCs w:val="17"/>
        </w:rPr>
        <w:t xml:space="preserve"> 사이</w:t>
      </w:r>
      <w:r w:rsidRPr="007F5E62">
        <w:rPr>
          <w:rFonts w:ascii="HY신명조" w:eastAsia="HY신명조" w:hAnsi="나눔고딕" w:cs="나눔고딕" w:hint="eastAsia"/>
          <w:sz w:val="17"/>
          <w:szCs w:val="17"/>
        </w:rPr>
        <w:t xml:space="preserve"> 양의 유의미한 관계</w:t>
      </w:r>
      <w:r w:rsidR="00A13880" w:rsidRPr="007F5E62">
        <w:rPr>
          <w:rFonts w:ascii="HY신명조" w:eastAsia="HY신명조" w:hAnsi="나눔고딕" w:cs="나눔고딕" w:hint="eastAsia"/>
          <w:sz w:val="17"/>
          <w:szCs w:val="17"/>
        </w:rPr>
        <w:t>를 도출하였다</w:t>
      </w:r>
      <w:r w:rsidRPr="007F5E62">
        <w:rPr>
          <w:rFonts w:ascii="HY신명조" w:eastAsia="HY신명조" w:hAnsi="나눔고딕" w:cs="나눔고딕" w:hint="eastAsia"/>
          <w:sz w:val="17"/>
          <w:szCs w:val="17"/>
        </w:rPr>
        <w:t xml:space="preserve">. 한편 두 주요 지표의 내생성 문제를 해소하기 위해서 도구변수를 이용한 분석을 추가했으며 그 결과 역시 두 변수 사이 양의 유의미한 결과가 나왔다. </w:t>
      </w:r>
      <w:r w:rsidR="00B73C0C" w:rsidRPr="007F5E62">
        <w:rPr>
          <w:rFonts w:ascii="HY신명조" w:eastAsia="HY신명조" w:hAnsi="나눔고딕" w:cs="나눔고딕" w:hint="eastAsia"/>
          <w:sz w:val="17"/>
          <w:szCs w:val="17"/>
        </w:rPr>
        <w:t xml:space="preserve">이는 </w:t>
      </w:r>
      <w:r w:rsidRPr="007F5E62">
        <w:rPr>
          <w:rFonts w:ascii="HY신명조" w:eastAsia="HY신명조" w:hAnsi="나눔고딕" w:cs="나눔고딕" w:hint="eastAsia"/>
          <w:sz w:val="17"/>
          <w:szCs w:val="17"/>
        </w:rPr>
        <w:t xml:space="preserve">미국의 </w:t>
      </w:r>
      <w:r w:rsidR="00B73C0C" w:rsidRPr="007F5E62">
        <w:rPr>
          <w:rFonts w:ascii="HY신명조" w:eastAsia="HY신명조" w:hAnsi="나눔고딕" w:cs="나눔고딕" w:hint="eastAsia"/>
          <w:sz w:val="17"/>
          <w:szCs w:val="17"/>
        </w:rPr>
        <w:t>결과와는 반대되는데,</w:t>
      </w:r>
      <w:r w:rsidR="006B51AC" w:rsidRPr="007F5E62">
        <w:rPr>
          <w:rFonts w:ascii="HY신명조" w:eastAsia="HY신명조" w:hAnsi="나눔고딕" w:cs="나눔고딕" w:hint="eastAsia"/>
          <w:sz w:val="17"/>
          <w:szCs w:val="17"/>
        </w:rPr>
        <w:t xml:space="preserve"> 한국은</w:t>
      </w:r>
      <w:r w:rsidRPr="007F5E62">
        <w:rPr>
          <w:rFonts w:ascii="HY신명조" w:eastAsia="HY신명조" w:hAnsi="나눔고딕" w:cs="나눔고딕" w:hint="eastAsia"/>
          <w:sz w:val="17"/>
          <w:szCs w:val="17"/>
        </w:rPr>
        <w:t xml:space="preserve"> 미국에 비해 주주의 영향력이 작고 M&amp;A 위험도</w:t>
      </w:r>
      <w:r w:rsidR="00932411" w:rsidRPr="007F5E62">
        <w:rPr>
          <w:rFonts w:ascii="HY신명조" w:eastAsia="HY신명조" w:hAnsi="나눔고딕" w:cs="나눔고딕" w:hint="eastAsia"/>
          <w:sz w:val="17"/>
          <w:szCs w:val="17"/>
        </w:rPr>
        <w:t>가 낮</w:t>
      </w:r>
      <w:r w:rsidR="006B51AC" w:rsidRPr="007F5E62">
        <w:rPr>
          <w:rFonts w:ascii="HY신명조" w:eastAsia="HY신명조" w:hAnsi="나눔고딕" w:cs="나눔고딕" w:hint="eastAsia"/>
          <w:sz w:val="17"/>
          <w:szCs w:val="17"/>
        </w:rPr>
        <w:t>을 뿐만 아니라</w:t>
      </w:r>
      <w:r w:rsidRPr="007F5E62">
        <w:rPr>
          <w:rFonts w:ascii="HY신명조" w:eastAsia="HY신명조" w:hAnsi="나눔고딕" w:cs="나눔고딕" w:hint="eastAsia"/>
          <w:sz w:val="17"/>
          <w:szCs w:val="17"/>
        </w:rPr>
        <w:t xml:space="preserve"> 애널리스트의 투자의견이 매수에 편중되어 상장 기업이 단기 실적</w:t>
      </w:r>
      <w:r w:rsidR="00311936" w:rsidRPr="007F5E62">
        <w:rPr>
          <w:rFonts w:ascii="HY신명조" w:eastAsia="HY신명조" w:hAnsi="나눔고딕" w:cs="나눔고딕" w:hint="eastAsia"/>
          <w:sz w:val="17"/>
          <w:szCs w:val="17"/>
        </w:rPr>
        <w:t>을</w:t>
      </w:r>
      <w:r w:rsidRPr="007F5E62">
        <w:rPr>
          <w:rFonts w:ascii="HY신명조" w:eastAsia="HY신명조" w:hAnsi="나눔고딕" w:cs="나눔고딕" w:hint="eastAsia"/>
          <w:sz w:val="17"/>
          <w:szCs w:val="17"/>
        </w:rPr>
        <w:t xml:space="preserve"> 중시할 개연성이 떨어</w:t>
      </w:r>
      <w:r w:rsidR="006B51AC" w:rsidRPr="007F5E62">
        <w:rPr>
          <w:rFonts w:ascii="HY신명조" w:eastAsia="HY신명조" w:hAnsi="나눔고딕" w:cs="나눔고딕" w:hint="eastAsia"/>
          <w:sz w:val="17"/>
          <w:szCs w:val="17"/>
        </w:rPr>
        <w:t>지기 때문이다</w:t>
      </w:r>
      <w:r w:rsidRPr="007F5E62">
        <w:rPr>
          <w:rFonts w:ascii="HY신명조" w:eastAsia="HY신명조" w:hAnsi="나눔고딕" w:cs="나눔고딕" w:hint="eastAsia"/>
          <w:sz w:val="17"/>
          <w:szCs w:val="17"/>
        </w:rPr>
        <w:t xml:space="preserve">. 오히려 국내 애널리스트는 </w:t>
      </w:r>
      <w:r w:rsidR="00311936" w:rsidRPr="007F5E62">
        <w:rPr>
          <w:rFonts w:ascii="HY신명조" w:eastAsia="HY신명조" w:hAnsi="나눔고딕" w:cs="나눔고딕" w:hint="eastAsia"/>
          <w:sz w:val="17"/>
          <w:szCs w:val="17"/>
        </w:rPr>
        <w:t xml:space="preserve">기업이 </w:t>
      </w:r>
      <w:r w:rsidRPr="007F5E62">
        <w:rPr>
          <w:rFonts w:ascii="HY신명조" w:eastAsia="HY신명조" w:hAnsi="나눔고딕" w:cs="나눔고딕" w:hint="eastAsia"/>
          <w:sz w:val="17"/>
          <w:szCs w:val="17"/>
        </w:rPr>
        <w:t>혁신을 위한 투자로 단기 실적이 악화될 경우 보고서를 통해 경영상황을 공개하여 오히려 기업의 부담을 낮추는 긍정적인 역할을 한다</w:t>
      </w:r>
      <w:r w:rsidR="00150352" w:rsidRPr="007F5E62">
        <w:rPr>
          <w:rFonts w:ascii="HY신명조" w:eastAsia="HY신명조" w:hAnsi="나눔고딕" w:cs="나눔고딕" w:hint="eastAsia"/>
          <w:sz w:val="17"/>
          <w:szCs w:val="17"/>
        </w:rPr>
        <w:t>는 점을 밝혔다.</w:t>
      </w:r>
    </w:p>
    <w:p w14:paraId="5B309741" w14:textId="77777777" w:rsidR="00550CC0" w:rsidRPr="007F5E62" w:rsidRDefault="00550CC0" w:rsidP="00C831C9">
      <w:pPr>
        <w:spacing w:line="420" w:lineRule="auto"/>
        <w:jc w:val="both"/>
        <w:rPr>
          <w:rFonts w:ascii="HY신명조" w:eastAsia="HY신명조" w:hAnsi="나눔고딕" w:cs="나눔고딕"/>
          <w:sz w:val="20"/>
          <w:szCs w:val="20"/>
        </w:rPr>
      </w:pPr>
    </w:p>
    <w:p w14:paraId="71CE363C" w14:textId="77777777" w:rsidR="00550CC0" w:rsidRPr="007F5E62" w:rsidRDefault="00550CC0" w:rsidP="00C831C9">
      <w:pPr>
        <w:spacing w:line="420" w:lineRule="auto"/>
        <w:jc w:val="both"/>
        <w:rPr>
          <w:rFonts w:ascii="HY신명조" w:eastAsia="HY신명조" w:hAnsi="나눔고딕" w:cs="나눔고딕"/>
          <w:sz w:val="20"/>
          <w:szCs w:val="20"/>
        </w:rPr>
      </w:pPr>
    </w:p>
    <w:p w14:paraId="2075B3A1" w14:textId="77777777" w:rsidR="00932411" w:rsidRPr="007F5E62" w:rsidRDefault="00932411" w:rsidP="00C831C9">
      <w:pP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br w:type="page"/>
      </w:r>
    </w:p>
    <w:p w14:paraId="63F7EB58" w14:textId="33640DE4" w:rsidR="00550CC0" w:rsidRPr="007F5E62" w:rsidRDefault="00550CC0" w:rsidP="00C831C9">
      <w:pP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lastRenderedPageBreak/>
        <w:t>영문요약</w:t>
      </w:r>
    </w:p>
    <w:p w14:paraId="337E16B9" w14:textId="77777777" w:rsidR="004434ED" w:rsidRPr="007F5E62" w:rsidRDefault="004434ED" w:rsidP="00C831C9">
      <w:pPr>
        <w:spacing w:line="420" w:lineRule="auto"/>
        <w:jc w:val="both"/>
        <w:rPr>
          <w:rFonts w:ascii="HY신명조" w:eastAsia="HY신명조" w:hAnsi="나눔고딕"/>
          <w:sz w:val="17"/>
          <w:szCs w:val="17"/>
          <w:lang w:val="en-US"/>
        </w:rPr>
      </w:pPr>
    </w:p>
    <w:p w14:paraId="491718DC" w14:textId="31B95E49" w:rsidR="002B2E3F" w:rsidRPr="007F5E62" w:rsidRDefault="00D570FF" w:rsidP="00C831C9">
      <w:pPr>
        <w:spacing w:line="420" w:lineRule="auto"/>
        <w:jc w:val="both"/>
        <w:rPr>
          <w:rFonts w:ascii="HY신명조" w:eastAsia="HY신명조" w:hAnsi="나눔고딕"/>
          <w:sz w:val="17"/>
          <w:szCs w:val="17"/>
          <w:lang w:val="en-US"/>
        </w:rPr>
      </w:pPr>
      <w:r w:rsidRPr="007F5E62">
        <w:rPr>
          <w:rFonts w:ascii="HY신명조" w:eastAsia="HY신명조" w:hAnsi="나눔고딕" w:hint="eastAsia"/>
          <w:sz w:val="17"/>
          <w:szCs w:val="17"/>
          <w:lang w:val="en-US"/>
        </w:rPr>
        <w:t>The purpose of this study is to verify the effect</w:t>
      </w:r>
      <w:r w:rsidR="003C3B34" w:rsidRPr="007F5E62">
        <w:rPr>
          <w:rFonts w:ascii="HY신명조" w:eastAsia="HY신명조" w:hAnsi="나눔고딕" w:hint="eastAsia"/>
          <w:sz w:val="17"/>
          <w:szCs w:val="17"/>
          <w:lang w:val="en-US"/>
        </w:rPr>
        <w:t>s</w:t>
      </w:r>
      <w:r w:rsidRPr="007F5E62">
        <w:rPr>
          <w:rFonts w:ascii="HY신명조" w:eastAsia="HY신명조" w:hAnsi="나눔고딕" w:hint="eastAsia"/>
          <w:sz w:val="17"/>
          <w:szCs w:val="17"/>
          <w:lang w:val="en-US"/>
        </w:rPr>
        <w:t xml:space="preserve"> of analyst</w:t>
      </w:r>
      <w:r w:rsidR="00DC2EFA" w:rsidRPr="007F5E62">
        <w:rPr>
          <w:rFonts w:ascii="HY신명조" w:eastAsia="HY신명조" w:hAnsi="나눔고딕" w:hint="eastAsia"/>
          <w:sz w:val="17"/>
          <w:szCs w:val="17"/>
          <w:lang w:val="en-US"/>
        </w:rPr>
        <w:t>s’ coverage</w:t>
      </w:r>
      <w:r w:rsidRPr="007F5E62">
        <w:rPr>
          <w:rFonts w:ascii="HY신명조" w:eastAsia="HY신명조" w:hAnsi="나눔고딕" w:hint="eastAsia"/>
          <w:sz w:val="17"/>
          <w:szCs w:val="17"/>
          <w:lang w:val="en-US"/>
        </w:rPr>
        <w:t xml:space="preserve"> on the technological innovation of </w:t>
      </w:r>
      <w:r w:rsidR="00032B64" w:rsidRPr="007F5E62">
        <w:rPr>
          <w:rFonts w:ascii="HY신명조" w:eastAsia="HY신명조" w:hAnsi="나눔고딕" w:hint="eastAsia"/>
          <w:sz w:val="17"/>
          <w:szCs w:val="17"/>
          <w:lang w:val="en-US"/>
        </w:rPr>
        <w:t>the</w:t>
      </w:r>
      <w:r w:rsidRPr="007F5E62">
        <w:rPr>
          <w:rFonts w:ascii="HY신명조" w:eastAsia="HY신명조" w:hAnsi="나눔고딕" w:hint="eastAsia"/>
          <w:sz w:val="17"/>
          <w:szCs w:val="17"/>
          <w:lang w:val="en-US"/>
        </w:rPr>
        <w:t xml:space="preserve"> companies. </w:t>
      </w:r>
      <w:r w:rsidR="00950F6F" w:rsidRPr="007F5E62">
        <w:rPr>
          <w:rFonts w:ascii="HY신명조" w:eastAsia="HY신명조" w:hAnsi="나눔고딕" w:hint="eastAsia"/>
          <w:sz w:val="17"/>
          <w:szCs w:val="17"/>
          <w:lang w:val="en-US"/>
        </w:rPr>
        <w:t>This article</w:t>
      </w:r>
      <w:r w:rsidRPr="007F5E62">
        <w:rPr>
          <w:rFonts w:ascii="HY신명조" w:eastAsia="HY신명조" w:hAnsi="나눔고딕" w:hint="eastAsia"/>
          <w:sz w:val="17"/>
          <w:szCs w:val="17"/>
          <w:lang w:val="en-US"/>
        </w:rPr>
        <w:t xml:space="preserve"> is of great significance in that </w:t>
      </w:r>
      <w:r w:rsidR="00ED6353" w:rsidRPr="007F5E62">
        <w:rPr>
          <w:rFonts w:ascii="HY신명조" w:eastAsia="HY신명조" w:hAnsi="나눔고딕" w:hint="eastAsia"/>
          <w:sz w:val="17"/>
          <w:szCs w:val="17"/>
          <w:lang w:val="en-US"/>
        </w:rPr>
        <w:t>it is the first empirical study on such a</w:t>
      </w:r>
      <w:r w:rsidRPr="007F5E62">
        <w:rPr>
          <w:rFonts w:ascii="HY신명조" w:eastAsia="HY신명조" w:hAnsi="나눔고딕" w:hint="eastAsia"/>
          <w:sz w:val="17"/>
          <w:szCs w:val="17"/>
          <w:lang w:val="en-US"/>
        </w:rPr>
        <w:t xml:space="preserve"> causal relationship</w:t>
      </w:r>
      <w:r w:rsidR="00ED6353" w:rsidRPr="007F5E62">
        <w:rPr>
          <w:rFonts w:ascii="HY신명조" w:eastAsia="HY신명조" w:hAnsi="나눔고딕" w:hint="eastAsia"/>
          <w:sz w:val="17"/>
          <w:szCs w:val="17"/>
          <w:lang w:val="en-US"/>
        </w:rPr>
        <w:t xml:space="preserve"> </w:t>
      </w:r>
      <w:r w:rsidRPr="007F5E62">
        <w:rPr>
          <w:rFonts w:ascii="HY신명조" w:eastAsia="HY신명조" w:hAnsi="나눔고딕" w:hint="eastAsia"/>
          <w:sz w:val="17"/>
          <w:szCs w:val="17"/>
          <w:lang w:val="en-US"/>
        </w:rPr>
        <w:t>in Korea</w:t>
      </w:r>
      <w:r w:rsidR="00ED6353" w:rsidRPr="007F5E62">
        <w:rPr>
          <w:rFonts w:ascii="HY신명조" w:eastAsia="HY신명조" w:hAnsi="나눔고딕" w:hint="eastAsia"/>
          <w:sz w:val="17"/>
          <w:szCs w:val="17"/>
          <w:lang w:val="en-US"/>
        </w:rPr>
        <w:t>.</w:t>
      </w:r>
      <w:r w:rsidR="005F1AD1" w:rsidRPr="007F5E62">
        <w:rPr>
          <w:rFonts w:ascii="HY신명조" w:eastAsia="HY신명조" w:hAnsi="나눔고딕" w:hint="eastAsia"/>
          <w:sz w:val="17"/>
          <w:szCs w:val="17"/>
          <w:lang w:val="en-US"/>
        </w:rPr>
        <w:t xml:space="preserve"> We </w:t>
      </w:r>
      <w:r w:rsidR="000A1E60" w:rsidRPr="007F5E62">
        <w:rPr>
          <w:rFonts w:ascii="HY신명조" w:eastAsia="HY신명조" w:hAnsi="나눔고딕" w:hint="eastAsia"/>
          <w:sz w:val="17"/>
          <w:szCs w:val="17"/>
          <w:lang w:val="en-US"/>
        </w:rPr>
        <w:t>show</w:t>
      </w:r>
      <w:r w:rsidR="005F1AD1" w:rsidRPr="007F5E62">
        <w:rPr>
          <w:rFonts w:ascii="HY신명조" w:eastAsia="HY신명조" w:hAnsi="나눔고딕" w:hint="eastAsia"/>
          <w:sz w:val="17"/>
          <w:szCs w:val="17"/>
          <w:lang w:val="en-US"/>
        </w:rPr>
        <w:t xml:space="preserve"> that the empirical results are slightly different from those of U.S. cases due to</w:t>
      </w:r>
      <w:r w:rsidR="002C4173" w:rsidRPr="007F5E62">
        <w:rPr>
          <w:rFonts w:ascii="HY신명조" w:eastAsia="HY신명조" w:hAnsi="나눔고딕" w:hint="eastAsia"/>
          <w:sz w:val="17"/>
          <w:szCs w:val="17"/>
          <w:lang w:val="en-US"/>
        </w:rPr>
        <w:t xml:space="preserve"> </w:t>
      </w:r>
      <w:r w:rsidRPr="007F5E62">
        <w:rPr>
          <w:rFonts w:ascii="HY신명조" w:eastAsia="HY신명조" w:hAnsi="나눔고딕" w:hint="eastAsia"/>
          <w:sz w:val="17"/>
          <w:szCs w:val="17"/>
          <w:lang w:val="en-US"/>
        </w:rPr>
        <w:t xml:space="preserve">the </w:t>
      </w:r>
      <w:r w:rsidR="00FC1838" w:rsidRPr="007F5E62">
        <w:rPr>
          <w:rFonts w:ascii="HY신명조" w:eastAsia="HY신명조" w:hAnsi="나눔고딕" w:hint="eastAsia"/>
          <w:sz w:val="17"/>
          <w:szCs w:val="17"/>
          <w:lang w:val="en-US"/>
        </w:rPr>
        <w:t xml:space="preserve">economic and financial </w:t>
      </w:r>
      <w:r w:rsidRPr="007F5E62">
        <w:rPr>
          <w:rFonts w:ascii="HY신명조" w:eastAsia="HY신명조" w:hAnsi="나눔고딕" w:hint="eastAsia"/>
          <w:sz w:val="17"/>
          <w:szCs w:val="17"/>
          <w:lang w:val="en-US"/>
        </w:rPr>
        <w:t>structur</w:t>
      </w:r>
      <w:r w:rsidR="00FC1838" w:rsidRPr="007F5E62">
        <w:rPr>
          <w:rFonts w:ascii="HY신명조" w:eastAsia="HY신명조" w:hAnsi="나눔고딕" w:hint="eastAsia"/>
          <w:sz w:val="17"/>
          <w:szCs w:val="17"/>
          <w:lang w:val="en-US"/>
        </w:rPr>
        <w:t>al differences</w:t>
      </w:r>
      <w:r w:rsidRPr="007F5E62">
        <w:rPr>
          <w:rFonts w:ascii="HY신명조" w:eastAsia="HY신명조" w:hAnsi="나눔고딕" w:hint="eastAsia"/>
          <w:sz w:val="17"/>
          <w:szCs w:val="17"/>
          <w:lang w:val="en-US"/>
        </w:rPr>
        <w:t xml:space="preserve">. </w:t>
      </w:r>
      <w:r w:rsidR="002C4173" w:rsidRPr="007F5E62">
        <w:rPr>
          <w:rFonts w:ascii="HY신명조" w:eastAsia="HY신명조" w:hAnsi="나눔고딕" w:hint="eastAsia"/>
          <w:sz w:val="17"/>
          <w:szCs w:val="17"/>
          <w:lang w:val="en-US"/>
        </w:rPr>
        <w:t>Specifically</w:t>
      </w:r>
      <w:r w:rsidRPr="007F5E62">
        <w:rPr>
          <w:rFonts w:ascii="HY신명조" w:eastAsia="HY신명조" w:hAnsi="나눔고딕" w:hint="eastAsia"/>
          <w:sz w:val="17"/>
          <w:szCs w:val="17"/>
          <w:lang w:val="en-US"/>
        </w:rPr>
        <w:t xml:space="preserve">, </w:t>
      </w:r>
      <w:r w:rsidR="00C96DE9" w:rsidRPr="007F5E62">
        <w:rPr>
          <w:rFonts w:ascii="HY신명조" w:eastAsia="HY신명조" w:hAnsi="나눔고딕" w:hint="eastAsia"/>
          <w:sz w:val="17"/>
          <w:szCs w:val="17"/>
          <w:lang w:val="en-US"/>
        </w:rPr>
        <w:t xml:space="preserve">we find that </w:t>
      </w:r>
      <w:r w:rsidRPr="007F5E62">
        <w:rPr>
          <w:rFonts w:ascii="HY신명조" w:eastAsia="HY신명조" w:hAnsi="나눔고딕" w:hint="eastAsia"/>
          <w:sz w:val="17"/>
          <w:szCs w:val="17"/>
          <w:lang w:val="en-US"/>
        </w:rPr>
        <w:t xml:space="preserve">the analyst's coverage has a positive effect on corporate innovation. Based on previous </w:t>
      </w:r>
      <w:r w:rsidR="000A1E60" w:rsidRPr="007F5E62">
        <w:rPr>
          <w:rFonts w:ascii="HY신명조" w:eastAsia="HY신명조" w:hAnsi="나눔고딕" w:hint="eastAsia"/>
          <w:sz w:val="17"/>
          <w:szCs w:val="17"/>
          <w:lang w:val="en-US"/>
        </w:rPr>
        <w:t>literature</w:t>
      </w:r>
      <w:r w:rsidRPr="007F5E62">
        <w:rPr>
          <w:rFonts w:ascii="HY신명조" w:eastAsia="HY신명조" w:hAnsi="나눔고딕" w:hint="eastAsia"/>
          <w:sz w:val="17"/>
          <w:szCs w:val="17"/>
          <w:lang w:val="en-US"/>
        </w:rPr>
        <w:t xml:space="preserve"> studies, the influence of analysts </w:t>
      </w:r>
      <w:r w:rsidR="000A1E60" w:rsidRPr="007F5E62">
        <w:rPr>
          <w:rFonts w:ascii="HY신명조" w:eastAsia="HY신명조" w:hAnsi="나눔고딕" w:hint="eastAsia"/>
          <w:sz w:val="17"/>
          <w:szCs w:val="17"/>
          <w:lang w:val="en-US"/>
        </w:rPr>
        <w:t>is</w:t>
      </w:r>
      <w:r w:rsidRPr="007F5E62">
        <w:rPr>
          <w:rFonts w:ascii="HY신명조" w:eastAsia="HY신명조" w:hAnsi="나눔고딕" w:hint="eastAsia"/>
          <w:sz w:val="17"/>
          <w:szCs w:val="17"/>
          <w:lang w:val="en-US"/>
        </w:rPr>
        <w:t xml:space="preserve"> quantified by the number of reports related to listed companies and the number of patents granted for innovation by companies. This study use</w:t>
      </w:r>
      <w:r w:rsidR="000A1E60" w:rsidRPr="007F5E62">
        <w:rPr>
          <w:rFonts w:ascii="HY신명조" w:eastAsia="HY신명조" w:hAnsi="나눔고딕" w:hint="eastAsia"/>
          <w:sz w:val="17"/>
          <w:szCs w:val="17"/>
          <w:lang w:val="en-US"/>
        </w:rPr>
        <w:t xml:space="preserve">s </w:t>
      </w:r>
      <w:r w:rsidRPr="007F5E62">
        <w:rPr>
          <w:rFonts w:ascii="HY신명조" w:eastAsia="HY신명조" w:hAnsi="나눔고딕" w:hint="eastAsia"/>
          <w:sz w:val="17"/>
          <w:szCs w:val="17"/>
          <w:lang w:val="en-US"/>
        </w:rPr>
        <w:t>F</w:t>
      </w:r>
      <w:r w:rsidR="000A1E60" w:rsidRPr="007F5E62">
        <w:rPr>
          <w:rFonts w:ascii="HY신명조" w:eastAsia="HY신명조" w:hAnsi="나눔고딕" w:hint="eastAsia"/>
          <w:sz w:val="17"/>
          <w:szCs w:val="17"/>
          <w:lang w:val="en-US"/>
        </w:rPr>
        <w:t>N</w:t>
      </w:r>
      <w:r w:rsidRPr="007F5E62">
        <w:rPr>
          <w:rFonts w:ascii="HY신명조" w:eastAsia="HY신명조" w:hAnsi="나눔고딕" w:hint="eastAsia"/>
          <w:sz w:val="17"/>
          <w:szCs w:val="17"/>
          <w:lang w:val="en-US"/>
        </w:rPr>
        <w:t xml:space="preserve">Guide's domestic analyst's coverage data (2003-2013) and domestic patent data (2003-2013) provided by the patent information net Cyprice. </w:t>
      </w:r>
      <w:r w:rsidR="00B15F32" w:rsidRPr="007F5E62">
        <w:rPr>
          <w:rFonts w:ascii="HY신명조" w:eastAsia="HY신명조" w:hAnsi="나눔고딕" w:hint="eastAsia"/>
          <w:sz w:val="17"/>
          <w:szCs w:val="17"/>
          <w:lang w:val="en-US"/>
        </w:rPr>
        <w:t xml:space="preserve">With </w:t>
      </w:r>
      <w:r w:rsidRPr="007F5E62">
        <w:rPr>
          <w:rFonts w:ascii="HY신명조" w:eastAsia="HY신명조" w:hAnsi="나눔고딕" w:hint="eastAsia"/>
          <w:sz w:val="17"/>
          <w:szCs w:val="17"/>
          <w:lang w:val="en-US"/>
        </w:rPr>
        <w:t xml:space="preserve">a fixed effect panel data </w:t>
      </w:r>
      <w:r w:rsidR="00B15F32" w:rsidRPr="007F5E62">
        <w:rPr>
          <w:rFonts w:ascii="HY신명조" w:eastAsia="HY신명조" w:hAnsi="나눔고딕" w:hint="eastAsia"/>
          <w:sz w:val="17"/>
          <w:szCs w:val="17"/>
          <w:lang w:val="en-US"/>
        </w:rPr>
        <w:t xml:space="preserve">model, </w:t>
      </w:r>
      <w:r w:rsidRPr="007F5E62">
        <w:rPr>
          <w:rFonts w:ascii="HY신명조" w:eastAsia="HY신명조" w:hAnsi="나눔고딕" w:hint="eastAsia"/>
          <w:sz w:val="17"/>
          <w:szCs w:val="17"/>
          <w:lang w:val="en-US"/>
        </w:rPr>
        <w:t>a positive and meaningful relationship was drawn between the analyst's coverage and the number of company patents. Meanwhile, in order to solve the endogenous problem of the two main indicators, an analysis using an instrumental variable was added</w:t>
      </w:r>
      <w:r w:rsidR="00AD08EC" w:rsidRPr="007F5E62">
        <w:rPr>
          <w:rFonts w:ascii="HY신명조" w:eastAsia="HY신명조" w:hAnsi="나눔고딕" w:hint="eastAsia"/>
          <w:sz w:val="17"/>
          <w:szCs w:val="17"/>
          <w:lang w:val="en-US"/>
        </w:rPr>
        <w:t>.</w:t>
      </w:r>
      <w:r w:rsidRPr="007F5E62">
        <w:rPr>
          <w:rFonts w:ascii="HY신명조" w:eastAsia="HY신명조" w:hAnsi="나눔고딕" w:hint="eastAsia"/>
          <w:sz w:val="17"/>
          <w:szCs w:val="17"/>
          <w:lang w:val="en-US"/>
        </w:rPr>
        <w:t xml:space="preserve"> </w:t>
      </w:r>
      <w:r w:rsidR="00146760" w:rsidRPr="007F5E62">
        <w:rPr>
          <w:rFonts w:ascii="HY신명조" w:eastAsia="HY신명조" w:hAnsi="나눔고딕" w:hint="eastAsia"/>
          <w:sz w:val="17"/>
          <w:szCs w:val="17"/>
          <w:lang w:val="en-US"/>
        </w:rPr>
        <w:t xml:space="preserve">Unlike </w:t>
      </w:r>
      <w:r w:rsidRPr="007F5E62">
        <w:rPr>
          <w:rFonts w:ascii="HY신명조" w:eastAsia="HY신명조" w:hAnsi="나눔고딕" w:hint="eastAsia"/>
          <w:sz w:val="17"/>
          <w:szCs w:val="17"/>
          <w:lang w:val="en-US"/>
        </w:rPr>
        <w:t>He</w:t>
      </w:r>
      <w:r w:rsidR="005D288A">
        <w:rPr>
          <w:rFonts w:ascii="HY신명조" w:eastAsia="HY신명조" w:hAnsi="나눔고딕" w:hint="eastAsia"/>
          <w:sz w:val="17"/>
          <w:szCs w:val="17"/>
          <w:lang w:val="en-US"/>
        </w:rPr>
        <w:t xml:space="preserve">, </w:t>
      </w:r>
      <w:r w:rsidRPr="007F5E62">
        <w:rPr>
          <w:rFonts w:ascii="HY신명조" w:eastAsia="HY신명조" w:hAnsi="나눔고딕" w:hint="eastAsia"/>
          <w:sz w:val="17"/>
          <w:szCs w:val="17"/>
          <w:lang w:val="en-US"/>
        </w:rPr>
        <w:t>Tian (2013)</w:t>
      </w:r>
      <w:r w:rsidR="00146760" w:rsidRPr="007F5E62">
        <w:rPr>
          <w:rFonts w:ascii="HY신명조" w:eastAsia="HY신명조" w:hAnsi="나눔고딕" w:hint="eastAsia"/>
          <w:sz w:val="17"/>
          <w:szCs w:val="17"/>
          <w:lang w:val="en-US"/>
        </w:rPr>
        <w:t>’s findings on</w:t>
      </w:r>
      <w:r w:rsidRPr="007F5E62">
        <w:rPr>
          <w:rFonts w:ascii="HY신명조" w:eastAsia="HY신명조" w:hAnsi="나눔고딕" w:hint="eastAsia"/>
          <w:sz w:val="17"/>
          <w:szCs w:val="17"/>
          <w:lang w:val="en-US"/>
        </w:rPr>
        <w:t xml:space="preserve"> the US </w:t>
      </w:r>
      <w:r w:rsidR="00146760" w:rsidRPr="007F5E62">
        <w:rPr>
          <w:rFonts w:ascii="HY신명조" w:eastAsia="HY신명조" w:hAnsi="나눔고딕" w:hint="eastAsia"/>
          <w:sz w:val="17"/>
          <w:szCs w:val="17"/>
          <w:lang w:val="en-US"/>
        </w:rPr>
        <w:t>cases</w:t>
      </w:r>
      <w:r w:rsidR="007A2C11" w:rsidRPr="007F5E62">
        <w:rPr>
          <w:rFonts w:ascii="HY신명조" w:eastAsia="HY신명조" w:hAnsi="나눔고딕" w:hint="eastAsia"/>
          <w:sz w:val="17"/>
          <w:szCs w:val="17"/>
          <w:lang w:val="en-US"/>
        </w:rPr>
        <w:t>, we report a</w:t>
      </w:r>
      <w:r w:rsidRPr="007F5E62">
        <w:rPr>
          <w:rFonts w:ascii="HY신명조" w:eastAsia="HY신명조" w:hAnsi="나눔고딕" w:hint="eastAsia"/>
          <w:sz w:val="17"/>
          <w:szCs w:val="17"/>
          <w:lang w:val="en-US"/>
        </w:rPr>
        <w:t xml:space="preserve"> </w:t>
      </w:r>
      <w:r w:rsidR="007A2C11" w:rsidRPr="007F5E62">
        <w:rPr>
          <w:rFonts w:ascii="HY신명조" w:eastAsia="HY신명조" w:hAnsi="나눔고딕" w:hint="eastAsia"/>
          <w:sz w:val="17"/>
          <w:szCs w:val="17"/>
          <w:lang w:val="en-US"/>
        </w:rPr>
        <w:t>positive</w:t>
      </w:r>
      <w:r w:rsidRPr="007F5E62">
        <w:rPr>
          <w:rFonts w:ascii="HY신명조" w:eastAsia="HY신명조" w:hAnsi="나눔고딕" w:hint="eastAsia"/>
          <w:sz w:val="17"/>
          <w:szCs w:val="17"/>
          <w:lang w:val="en-US"/>
        </w:rPr>
        <w:t xml:space="preserve"> causal relationship between the two variables, </w:t>
      </w:r>
      <w:r w:rsidR="00D70CAD" w:rsidRPr="007F5E62">
        <w:rPr>
          <w:rFonts w:ascii="HY신명조" w:eastAsia="HY신명조" w:hAnsi="나눔고딕" w:hint="eastAsia"/>
          <w:sz w:val="17"/>
          <w:szCs w:val="17"/>
          <w:lang w:val="en-US"/>
        </w:rPr>
        <w:t>which</w:t>
      </w:r>
      <w:r w:rsidR="00977A6D" w:rsidRPr="007F5E62">
        <w:rPr>
          <w:rFonts w:ascii="HY신명조" w:eastAsia="HY신명조" w:hAnsi="나눔고딕" w:hint="eastAsia"/>
          <w:sz w:val="17"/>
          <w:szCs w:val="17"/>
          <w:lang w:val="en-US"/>
        </w:rPr>
        <w:t>, we believe, may stem from the fact that</w:t>
      </w:r>
      <w:r w:rsidRPr="007F5E62">
        <w:rPr>
          <w:rFonts w:ascii="HY신명조" w:eastAsia="HY신명조" w:hAnsi="나눔고딕" w:hint="eastAsia"/>
          <w:sz w:val="17"/>
          <w:szCs w:val="17"/>
          <w:lang w:val="en-US"/>
        </w:rPr>
        <w:t xml:space="preserve"> shareholders</w:t>
      </w:r>
      <w:r w:rsidR="00977A6D" w:rsidRPr="007F5E62">
        <w:rPr>
          <w:rFonts w:ascii="HY신명조" w:eastAsia="HY신명조" w:hAnsi="나눔고딕" w:hint="eastAsia"/>
          <w:sz w:val="17"/>
          <w:szCs w:val="17"/>
          <w:lang w:val="en-US"/>
        </w:rPr>
        <w:t xml:space="preserve"> in Korea</w:t>
      </w:r>
      <w:r w:rsidRPr="007F5E62">
        <w:rPr>
          <w:rFonts w:ascii="HY신명조" w:eastAsia="HY신명조" w:hAnsi="나눔고딕" w:hint="eastAsia"/>
          <w:sz w:val="17"/>
          <w:szCs w:val="17"/>
          <w:lang w:val="en-US"/>
        </w:rPr>
        <w:t xml:space="preserve"> </w:t>
      </w:r>
      <w:r w:rsidR="006244A7" w:rsidRPr="007F5E62">
        <w:rPr>
          <w:rFonts w:ascii="HY신명조" w:eastAsia="HY신명조" w:hAnsi="나눔고딕" w:hint="eastAsia"/>
          <w:sz w:val="17"/>
          <w:szCs w:val="17"/>
          <w:lang w:val="en-US"/>
        </w:rPr>
        <w:t xml:space="preserve">are </w:t>
      </w:r>
      <w:r w:rsidRPr="007F5E62">
        <w:rPr>
          <w:rFonts w:ascii="HY신명조" w:eastAsia="HY신명조" w:hAnsi="나눔고딕" w:hint="eastAsia"/>
          <w:sz w:val="17"/>
          <w:szCs w:val="17"/>
          <w:lang w:val="en-US"/>
        </w:rPr>
        <w:t>less influen</w:t>
      </w:r>
      <w:r w:rsidR="006244A7" w:rsidRPr="007F5E62">
        <w:rPr>
          <w:rFonts w:ascii="HY신명조" w:eastAsia="HY신명조" w:hAnsi="나눔고딕" w:hint="eastAsia"/>
          <w:sz w:val="17"/>
          <w:szCs w:val="17"/>
          <w:lang w:val="en-US"/>
        </w:rPr>
        <w:t xml:space="preserve">tial </w:t>
      </w:r>
      <w:r w:rsidRPr="007F5E62">
        <w:rPr>
          <w:rFonts w:ascii="HY신명조" w:eastAsia="HY신명조" w:hAnsi="나눔고딕" w:hint="eastAsia"/>
          <w:sz w:val="17"/>
          <w:szCs w:val="17"/>
          <w:lang w:val="en-US"/>
        </w:rPr>
        <w:t xml:space="preserve">and </w:t>
      </w:r>
      <w:r w:rsidR="00CD63C7" w:rsidRPr="007F5E62">
        <w:rPr>
          <w:rFonts w:ascii="HY신명조" w:eastAsia="HY신명조" w:hAnsi="나눔고딕" w:hint="eastAsia"/>
          <w:sz w:val="17"/>
          <w:szCs w:val="17"/>
          <w:lang w:val="en-US"/>
        </w:rPr>
        <w:t>M&amp;A</w:t>
      </w:r>
      <w:r w:rsidRPr="007F5E62">
        <w:rPr>
          <w:rFonts w:ascii="HY신명조" w:eastAsia="HY신명조" w:hAnsi="나눔고딕" w:hint="eastAsia"/>
          <w:sz w:val="17"/>
          <w:szCs w:val="17"/>
          <w:lang w:val="en-US"/>
        </w:rPr>
        <w:t xml:space="preserve"> risk is low</w:t>
      </w:r>
      <w:r w:rsidR="00CD63C7" w:rsidRPr="007F5E62">
        <w:rPr>
          <w:rFonts w:ascii="HY신명조" w:eastAsia="HY신명조" w:hAnsi="나눔고딕" w:hint="eastAsia"/>
          <w:sz w:val="17"/>
          <w:szCs w:val="17"/>
          <w:lang w:val="en-US"/>
        </w:rPr>
        <w:t>er than the US market</w:t>
      </w:r>
      <w:r w:rsidRPr="007F5E62">
        <w:rPr>
          <w:rFonts w:ascii="HY신명조" w:eastAsia="HY신명조" w:hAnsi="나눔고딕" w:hint="eastAsia"/>
          <w:sz w:val="17"/>
          <w:szCs w:val="17"/>
          <w:lang w:val="en-US"/>
        </w:rPr>
        <w:t xml:space="preserve">. </w:t>
      </w:r>
      <w:r w:rsidR="00BD50C6" w:rsidRPr="007F5E62">
        <w:rPr>
          <w:rFonts w:ascii="HY신명조" w:eastAsia="HY신명조" w:hAnsi="나눔고딕" w:hint="eastAsia"/>
          <w:sz w:val="17"/>
          <w:szCs w:val="17"/>
          <w:lang w:val="en-US"/>
        </w:rPr>
        <w:t>Moreover,</w:t>
      </w:r>
      <w:r w:rsidRPr="007F5E62">
        <w:rPr>
          <w:rFonts w:ascii="HY신명조" w:eastAsia="HY신명조" w:hAnsi="나눔고딕" w:hint="eastAsia"/>
          <w:sz w:val="17"/>
          <w:szCs w:val="17"/>
          <w:lang w:val="en-US"/>
        </w:rPr>
        <w:t xml:space="preserve"> </w:t>
      </w:r>
      <w:r w:rsidR="00CF2EC1" w:rsidRPr="007F5E62">
        <w:rPr>
          <w:rFonts w:ascii="HY신명조" w:eastAsia="HY신명조" w:hAnsi="나눔고딕" w:hint="eastAsia"/>
          <w:sz w:val="17"/>
          <w:szCs w:val="17"/>
          <w:lang w:val="en-US"/>
        </w:rPr>
        <w:t xml:space="preserve">since </w:t>
      </w:r>
      <w:r w:rsidR="00BD50C6" w:rsidRPr="007F5E62">
        <w:rPr>
          <w:rFonts w:ascii="HY신명조" w:eastAsia="HY신명조" w:hAnsi="나눔고딕" w:hint="eastAsia"/>
          <w:sz w:val="17"/>
          <w:szCs w:val="17"/>
          <w:lang w:val="en-US"/>
        </w:rPr>
        <w:t xml:space="preserve">Korean </w:t>
      </w:r>
      <w:r w:rsidRPr="007F5E62">
        <w:rPr>
          <w:rFonts w:ascii="HY신명조" w:eastAsia="HY신명조" w:hAnsi="나눔고딕" w:hint="eastAsia"/>
          <w:sz w:val="17"/>
          <w:szCs w:val="17"/>
          <w:lang w:val="en-US"/>
        </w:rPr>
        <w:t xml:space="preserve">analysts </w:t>
      </w:r>
      <w:r w:rsidR="00BD50C6" w:rsidRPr="007F5E62">
        <w:rPr>
          <w:rFonts w:ascii="HY신명조" w:eastAsia="HY신명조" w:hAnsi="나눔고딕" w:hint="eastAsia"/>
          <w:sz w:val="17"/>
          <w:szCs w:val="17"/>
          <w:lang w:val="en-US"/>
        </w:rPr>
        <w:t>mostly reports buying calls</w:t>
      </w:r>
      <w:r w:rsidRPr="007F5E62">
        <w:rPr>
          <w:rFonts w:ascii="HY신명조" w:eastAsia="HY신명조" w:hAnsi="나눔고딕" w:hint="eastAsia"/>
          <w:sz w:val="17"/>
          <w:szCs w:val="17"/>
          <w:lang w:val="en-US"/>
        </w:rPr>
        <w:t xml:space="preserve">, </w:t>
      </w:r>
      <w:r w:rsidR="00CF2EC1" w:rsidRPr="007F5E62">
        <w:rPr>
          <w:rFonts w:ascii="HY신명조" w:eastAsia="HY신명조" w:hAnsi="나눔고딕" w:hint="eastAsia"/>
          <w:sz w:val="17"/>
          <w:szCs w:val="17"/>
          <w:lang w:val="en-US"/>
        </w:rPr>
        <w:t>Korean companies</w:t>
      </w:r>
      <w:r w:rsidR="00182CD5" w:rsidRPr="007F5E62">
        <w:rPr>
          <w:rFonts w:ascii="HY신명조" w:eastAsia="HY신명조" w:hAnsi="나눔고딕" w:hint="eastAsia"/>
          <w:sz w:val="17"/>
          <w:szCs w:val="17"/>
          <w:lang w:val="en-US"/>
        </w:rPr>
        <w:t xml:space="preserve"> </w:t>
      </w:r>
      <w:r w:rsidR="00687979" w:rsidRPr="007F5E62">
        <w:rPr>
          <w:rFonts w:ascii="HY신명조" w:eastAsia="HY신명조" w:hAnsi="나눔고딕" w:hint="eastAsia"/>
          <w:sz w:val="17"/>
          <w:szCs w:val="17"/>
          <w:lang w:val="en-US"/>
        </w:rPr>
        <w:t>may</w:t>
      </w:r>
      <w:r w:rsidR="00CF2EC1" w:rsidRPr="007F5E62">
        <w:rPr>
          <w:rFonts w:ascii="HY신명조" w:eastAsia="HY신명조" w:hAnsi="나눔고딕" w:hint="eastAsia"/>
          <w:sz w:val="17"/>
          <w:szCs w:val="17"/>
          <w:lang w:val="en-US"/>
        </w:rPr>
        <w:t xml:space="preserve"> pay more attention </w:t>
      </w:r>
      <w:r w:rsidR="00182CD5" w:rsidRPr="007F5E62">
        <w:rPr>
          <w:rFonts w:ascii="HY신명조" w:eastAsia="HY신명조" w:hAnsi="나눔고딕" w:hint="eastAsia"/>
          <w:sz w:val="17"/>
          <w:szCs w:val="17"/>
          <w:lang w:val="en-US"/>
        </w:rPr>
        <w:t>to</w:t>
      </w:r>
      <w:r w:rsidR="00CF2EC1" w:rsidRPr="007F5E62">
        <w:rPr>
          <w:rFonts w:ascii="HY신명조" w:eastAsia="HY신명조" w:hAnsi="나눔고딕" w:hint="eastAsia"/>
          <w:sz w:val="17"/>
          <w:szCs w:val="17"/>
          <w:lang w:val="en-US"/>
        </w:rPr>
        <w:t xml:space="preserve"> </w:t>
      </w:r>
      <w:r w:rsidR="00BB6845" w:rsidRPr="007F5E62">
        <w:rPr>
          <w:rFonts w:ascii="HY신명조" w:eastAsia="HY신명조" w:hAnsi="나눔고딕" w:hint="eastAsia"/>
          <w:sz w:val="17"/>
          <w:szCs w:val="17"/>
          <w:lang w:val="en-US"/>
        </w:rPr>
        <w:t>R&amp;D rather than restrict themselves to short term performances.</w:t>
      </w:r>
    </w:p>
    <w:p w14:paraId="0BFA86FE" w14:textId="77777777" w:rsidR="00040A71" w:rsidRPr="00240BC2" w:rsidRDefault="00040A71" w:rsidP="00040A71">
      <w:pPr>
        <w:spacing w:line="420" w:lineRule="auto"/>
        <w:jc w:val="both"/>
        <w:rPr>
          <w:rFonts w:ascii="HY신명조" w:eastAsia="HY신명조" w:hAnsi="나눔고딕" w:cs="나눔고딕"/>
          <w:sz w:val="20"/>
          <w:szCs w:val="20"/>
          <w:lang w:val="en-US"/>
        </w:rPr>
      </w:pPr>
    </w:p>
    <w:p w14:paraId="2519707A" w14:textId="682D9EEA" w:rsidR="00040A71" w:rsidRPr="007F5E62" w:rsidRDefault="00040A71" w:rsidP="00040A71">
      <w:pP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핵심어: 애널리스트, 혁신, 특허, 커버리지, 주식, 상장</w:t>
      </w:r>
      <w:r w:rsidR="00A7177F">
        <w:rPr>
          <w:rFonts w:ascii="HY신명조" w:eastAsia="HY신명조" w:hAnsi="나눔고딕" w:cs="나눔고딕" w:hint="eastAsia"/>
          <w:sz w:val="20"/>
          <w:szCs w:val="20"/>
        </w:rPr>
        <w:t>사</w:t>
      </w:r>
    </w:p>
    <w:p w14:paraId="6CFBD96B" w14:textId="507D0BF3" w:rsidR="002B2E3F" w:rsidRPr="00040A71" w:rsidRDefault="00040A71" w:rsidP="00C831C9">
      <w:pPr>
        <w:spacing w:line="420" w:lineRule="auto"/>
        <w:jc w:val="both"/>
        <w:rPr>
          <w:rFonts w:ascii="HY신명조" w:eastAsia="HY신명조" w:hAnsi="나눔고딕" w:cs="나눔고딕"/>
          <w:sz w:val="20"/>
          <w:szCs w:val="20"/>
          <w:lang w:val="en-US"/>
        </w:rPr>
      </w:pPr>
      <w:r w:rsidRPr="00040A71">
        <w:rPr>
          <w:rFonts w:ascii="HY신명조" w:eastAsia="HY신명조" w:hAnsi="나눔고딕" w:cs="나눔고딕" w:hint="eastAsia"/>
          <w:sz w:val="20"/>
          <w:szCs w:val="20"/>
          <w:lang w:val="en-US"/>
        </w:rPr>
        <w:t>Keywords: Analyst, Innovation, Patent, Coverage, Stock, Listed</w:t>
      </w:r>
      <w:r w:rsidR="00A7177F">
        <w:rPr>
          <w:rFonts w:ascii="HY신명조" w:eastAsia="HY신명조" w:hAnsi="나눔고딕" w:cs="나눔고딕" w:hint="eastAsia"/>
          <w:sz w:val="20"/>
          <w:szCs w:val="20"/>
          <w:lang w:val="en-US"/>
        </w:rPr>
        <w:t xml:space="preserve"> Company</w:t>
      </w:r>
    </w:p>
    <w:p w14:paraId="0B6705AD" w14:textId="51591AD9" w:rsidR="00932411" w:rsidRPr="007F5E62" w:rsidRDefault="00932411" w:rsidP="00C831C9">
      <w:pPr>
        <w:spacing w:line="420" w:lineRule="auto"/>
        <w:jc w:val="both"/>
        <w:rPr>
          <w:rFonts w:ascii="HY신명조" w:eastAsia="HY신명조" w:hAnsi="나눔고딕" w:cs="나눔고딕"/>
          <w:sz w:val="20"/>
          <w:szCs w:val="20"/>
          <w:lang w:val="en-US"/>
        </w:rPr>
      </w:pPr>
      <w:r w:rsidRPr="007F5E62">
        <w:rPr>
          <w:rFonts w:ascii="HY신명조" w:eastAsia="HY신명조" w:hAnsi="나눔고딕" w:cs="나눔고딕" w:hint="eastAsia"/>
          <w:sz w:val="20"/>
          <w:szCs w:val="20"/>
          <w:lang w:val="en-US"/>
        </w:rPr>
        <w:br w:type="page"/>
      </w:r>
    </w:p>
    <w:p w14:paraId="79A60313" w14:textId="411E1392" w:rsidR="00286A95" w:rsidRPr="007F5E62" w:rsidRDefault="00AB7484" w:rsidP="00117637">
      <w:pPr>
        <w:widowControl w:val="0"/>
        <w:numPr>
          <w:ilvl w:val="0"/>
          <w:numId w:val="3"/>
        </w:numPr>
        <w:pBdr>
          <w:top w:val="nil"/>
          <w:left w:val="nil"/>
          <w:bottom w:val="nil"/>
          <w:right w:val="nil"/>
          <w:between w:val="nil"/>
        </w:pBdr>
        <w:spacing w:line="420" w:lineRule="auto"/>
        <w:ind w:leftChars="100" w:left="374" w:hanging="154"/>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서론</w:t>
      </w:r>
    </w:p>
    <w:p w14:paraId="0378EDE1" w14:textId="2010BA1D" w:rsidR="00115FBF" w:rsidRPr="007F5E62" w:rsidRDefault="00BF2C50"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한국은 2020년 </w:t>
      </w:r>
      <w:r w:rsidR="009B04E3" w:rsidRPr="007F5E62">
        <w:rPr>
          <w:rFonts w:ascii="HY신명조" w:eastAsia="HY신명조" w:hAnsi="나눔고딕" w:cs="나눔고딕" w:hint="eastAsia"/>
          <w:sz w:val="20"/>
          <w:szCs w:val="20"/>
        </w:rPr>
        <w:t xml:space="preserve">명목 GDP </w:t>
      </w:r>
      <w:r w:rsidRPr="007F5E62">
        <w:rPr>
          <w:rFonts w:ascii="HY신명조" w:eastAsia="HY신명조" w:hAnsi="나눔고딕" w:cs="나눔고딕" w:hint="eastAsia"/>
          <w:sz w:val="20"/>
          <w:szCs w:val="20"/>
        </w:rPr>
        <w:t>세계 순위 10위</w:t>
      </w:r>
      <w:r w:rsidR="002B0ED0" w:rsidRPr="007F5E62">
        <w:rPr>
          <w:rFonts w:ascii="HY신명조" w:eastAsia="HY신명조" w:hAnsi="나눔고딕" w:cs="나눔고딕" w:hint="eastAsia"/>
          <w:sz w:val="20"/>
          <w:szCs w:val="20"/>
        </w:rPr>
        <w:t>권</w:t>
      </w:r>
      <w:r w:rsidR="009B04E3" w:rsidRPr="007F5E62">
        <w:rPr>
          <w:rFonts w:ascii="HY신명조" w:eastAsia="HY신명조" w:hAnsi="나눔고딕" w:cs="나눔고딕" w:hint="eastAsia"/>
          <w:sz w:val="20"/>
          <w:szCs w:val="20"/>
        </w:rPr>
        <w:t xml:space="preserve"> 진입했으며</w:t>
      </w:r>
      <w:r w:rsidRPr="007F5E62">
        <w:rPr>
          <w:rFonts w:ascii="HY신명조" w:eastAsia="HY신명조" w:hAnsi="나눔고딕" w:cs="나눔고딕" w:hint="eastAsia"/>
          <w:sz w:val="20"/>
          <w:szCs w:val="20"/>
        </w:rPr>
        <w:t xml:space="preserve"> 한국거래소는 시가총액 기준 세계 13위, 아시아 7위</w:t>
      </w:r>
      <w:r w:rsidRPr="007F5E62">
        <w:rPr>
          <w:rStyle w:val="af0"/>
          <w:rFonts w:ascii="HY신명조" w:eastAsia="HY신명조" w:hAnsi="나눔고딕" w:cs="나눔고딕" w:hint="eastAsia"/>
          <w:sz w:val="20"/>
          <w:szCs w:val="20"/>
        </w:rPr>
        <w:footnoteReference w:id="1"/>
      </w:r>
      <w:r w:rsidRPr="007F5E62">
        <w:rPr>
          <w:rFonts w:ascii="HY신명조" w:eastAsia="HY신명조" w:hAnsi="나눔고딕" w:cs="나눔고딕" w:hint="eastAsia"/>
          <w:sz w:val="20"/>
          <w:szCs w:val="20"/>
        </w:rPr>
        <w:t>를 기록했다. 한국 비상장 기업들은 기업혁신을 통해 국내외 증권거래소에서 성공적으로 상장 후 높은 밸류에이션으로 거래</w:t>
      </w:r>
      <w:r w:rsidR="00F9452D" w:rsidRPr="007F5E62">
        <w:rPr>
          <w:rFonts w:ascii="HY신명조" w:eastAsia="HY신명조" w:hAnsi="나눔고딕" w:cs="나눔고딕" w:hint="eastAsia"/>
          <w:sz w:val="20"/>
          <w:szCs w:val="20"/>
        </w:rPr>
        <w:t xml:space="preserve"> 중이다</w:t>
      </w:r>
      <w:r w:rsidRPr="007F5E62">
        <w:rPr>
          <w:rFonts w:ascii="HY신명조" w:eastAsia="HY신명조" w:hAnsi="나눔고딕" w:cs="나눔고딕" w:hint="eastAsia"/>
          <w:sz w:val="20"/>
          <w:szCs w:val="20"/>
        </w:rPr>
        <w:t>. 한국 주식시장이 기업</w:t>
      </w:r>
      <w:r w:rsidR="008410D2">
        <w:rPr>
          <w:rFonts w:ascii="HY신명조" w:eastAsia="HY신명조" w:hAnsi="나눔고딕" w:cs="나눔고딕" w:hint="eastAsia"/>
          <w:sz w:val="20"/>
          <w:szCs w:val="20"/>
        </w:rPr>
        <w:t>의</w:t>
      </w:r>
      <w:r w:rsidRPr="007F5E62">
        <w:rPr>
          <w:rFonts w:ascii="HY신명조" w:eastAsia="HY신명조" w:hAnsi="나눔고딕" w:cs="나눔고딕" w:hint="eastAsia"/>
          <w:sz w:val="20"/>
          <w:szCs w:val="20"/>
        </w:rPr>
        <w:t xml:space="preserve"> </w:t>
      </w:r>
      <w:r w:rsidR="00F0410F" w:rsidRPr="007F5E62">
        <w:rPr>
          <w:rFonts w:ascii="HY신명조" w:eastAsia="HY신명조" w:hAnsi="나눔고딕" w:cs="나눔고딕" w:hint="eastAsia"/>
          <w:sz w:val="20"/>
          <w:szCs w:val="20"/>
        </w:rPr>
        <w:t>상장</w:t>
      </w:r>
      <w:r w:rsidR="009A2744">
        <w:rPr>
          <w:rFonts w:ascii="HY신명조" w:eastAsia="HY신명조" w:hAnsi="나눔고딕" w:cs="나눔고딕" w:hint="eastAsia"/>
          <w:sz w:val="20"/>
          <w:szCs w:val="20"/>
        </w:rPr>
        <w:t xml:space="preserve"> </w:t>
      </w:r>
      <w:r w:rsidR="00F0410F" w:rsidRPr="007F5E62">
        <w:rPr>
          <w:rFonts w:ascii="HY신명조" w:eastAsia="HY신명조" w:hAnsi="나눔고딕" w:cs="나눔고딕" w:hint="eastAsia"/>
          <w:sz w:val="20"/>
          <w:szCs w:val="20"/>
        </w:rPr>
        <w:t>뿐만</w:t>
      </w:r>
      <w:r w:rsidRPr="007F5E62">
        <w:rPr>
          <w:rFonts w:ascii="HY신명조" w:eastAsia="HY신명조" w:hAnsi="나눔고딕" w:cs="나눔고딕" w:hint="eastAsia"/>
          <w:sz w:val="20"/>
          <w:szCs w:val="20"/>
        </w:rPr>
        <w:t xml:space="preserve"> 아니라 지속적으로 기업 혁신에 어떻게 기여하는 가는 중요한 연구 주제이다. 본 연구는 </w:t>
      </w:r>
      <w:r w:rsidR="00E017DF" w:rsidRPr="007F5E62">
        <w:rPr>
          <w:rFonts w:ascii="HY신명조" w:eastAsia="HY신명조" w:hAnsi="나눔고딕" w:cs="나눔고딕" w:hint="eastAsia"/>
          <w:sz w:val="20"/>
          <w:szCs w:val="20"/>
        </w:rPr>
        <w:t xml:space="preserve">주식시장 내 </w:t>
      </w:r>
      <w:r w:rsidRPr="007F5E62">
        <w:rPr>
          <w:rFonts w:ascii="HY신명조" w:eastAsia="HY신명조" w:hAnsi="나눔고딕" w:cs="나눔고딕" w:hint="eastAsia"/>
          <w:sz w:val="20"/>
          <w:szCs w:val="20"/>
        </w:rPr>
        <w:t>애널리스트</w:t>
      </w:r>
      <w:r w:rsidR="00E017DF" w:rsidRPr="007F5E62">
        <w:rPr>
          <w:rFonts w:ascii="HY신명조" w:eastAsia="HY신명조" w:hAnsi="나눔고딕" w:cs="나눔고딕" w:hint="eastAsia"/>
          <w:sz w:val="20"/>
          <w:szCs w:val="20"/>
        </w:rPr>
        <w:t>(Sell Side</w:t>
      </w:r>
      <w:r w:rsidR="00E017DF" w:rsidRPr="007F5E62">
        <w:rPr>
          <w:rStyle w:val="af0"/>
          <w:rFonts w:ascii="HY신명조" w:eastAsia="HY신명조" w:hAnsi="나눔고딕" w:cs="나눔고딕" w:hint="eastAsia"/>
          <w:sz w:val="20"/>
          <w:szCs w:val="20"/>
        </w:rPr>
        <w:footnoteReference w:id="2"/>
      </w:r>
      <w:r w:rsidR="00E017DF" w:rsidRPr="007F5E6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가 기업 혁신에 어떤 영향을 미치는지 중점적으로 검증한다. 국내 상장사를 대상으로 애널리스트의 영향력과 기업 혁신</w:t>
      </w:r>
      <w:r w:rsidR="00F0410F" w:rsidRPr="007F5E62">
        <w:rPr>
          <w:rFonts w:ascii="HY신명조" w:eastAsia="HY신명조" w:hAnsi="나눔고딕" w:cs="나눔고딕" w:hint="eastAsia"/>
          <w:sz w:val="20"/>
          <w:szCs w:val="20"/>
        </w:rPr>
        <w:t>의</w:t>
      </w:r>
      <w:r w:rsidRPr="007F5E62">
        <w:rPr>
          <w:rFonts w:ascii="HY신명조" w:eastAsia="HY신명조" w:hAnsi="나눔고딕" w:cs="나눔고딕" w:hint="eastAsia"/>
          <w:sz w:val="20"/>
          <w:szCs w:val="20"/>
        </w:rPr>
        <w:t xml:space="preserve"> 인과관계를 처음 검증했다는 측면에서 의미가 있다. 또한 국내는 경제, 자본시장 구조가 상이하기 때문에 미국의 선행 연구결과와 상반되는 실증결과</w:t>
      </w:r>
      <w:r w:rsidR="00F0410F" w:rsidRPr="007F5E62">
        <w:rPr>
          <w:rFonts w:ascii="HY신명조" w:eastAsia="HY신명조" w:hAnsi="나눔고딕" w:cs="나눔고딕" w:hint="eastAsia"/>
          <w:sz w:val="20"/>
          <w:szCs w:val="20"/>
        </w:rPr>
        <w:t>를 도출하고</w:t>
      </w:r>
      <w:r w:rsidRPr="007F5E62">
        <w:rPr>
          <w:rFonts w:ascii="HY신명조" w:eastAsia="HY신명조" w:hAnsi="나눔고딕" w:cs="나눔고딕" w:hint="eastAsia"/>
          <w:sz w:val="20"/>
          <w:szCs w:val="20"/>
        </w:rPr>
        <w:t xml:space="preserve"> 그 이유에 대한 구조적 설명을 제공했다는 점에서 큰 의미가 있다. 즉 한국 주식시장에서는 애널리스트의 커버리지가 기업혁신에 긍정적인 영향을 준다는 커다란 시사점을 준다.</w:t>
      </w:r>
      <w:r w:rsidR="00115FBF" w:rsidRPr="007F5E62">
        <w:rPr>
          <w:rFonts w:ascii="HY신명조" w:eastAsia="HY신명조" w:hAnsi="나눔고딕" w:cs="나눔고딕" w:hint="eastAsia"/>
          <w:sz w:val="20"/>
          <w:szCs w:val="20"/>
        </w:rPr>
        <w:t xml:space="preserve"> </w:t>
      </w:r>
    </w:p>
    <w:p w14:paraId="7F875B5E" w14:textId="4C887E22" w:rsidR="00212E90" w:rsidRPr="007F5E62" w:rsidRDefault="005239E4"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이정길(2019), 김광두,</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홍운선(2011)</w:t>
      </w:r>
      <w:r w:rsidR="003E4D42">
        <w:rPr>
          <w:rFonts w:ascii="HY신명조" w:eastAsia="HY신명조" w:hAnsi="나눔고딕" w:cs="나눔고딕" w:hint="eastAsia"/>
          <w:sz w:val="20"/>
          <w:szCs w:val="20"/>
        </w:rPr>
        <w:t>의 연구는</w:t>
      </w:r>
      <w:r w:rsidRPr="007F5E62">
        <w:rPr>
          <w:rFonts w:ascii="HY신명조" w:eastAsia="HY신명조" w:hAnsi="나눔고딕" w:cs="나눔고딕" w:hint="eastAsia"/>
          <w:sz w:val="20"/>
          <w:szCs w:val="20"/>
        </w:rPr>
        <w:t xml:space="preserve"> 기술혁신이 기업가치와 유의미한 양의 관계</w:t>
      </w:r>
      <w:r w:rsidR="00F0410F" w:rsidRPr="007F5E62">
        <w:rPr>
          <w:rFonts w:ascii="HY신명조" w:eastAsia="HY신명조" w:hAnsi="나눔고딕" w:cs="나눔고딕" w:hint="eastAsia"/>
          <w:sz w:val="20"/>
          <w:szCs w:val="20"/>
        </w:rPr>
        <w:t>를 가져</w:t>
      </w:r>
      <w:r w:rsidRPr="007F5E62">
        <w:rPr>
          <w:rFonts w:ascii="HY신명조" w:eastAsia="HY신명조" w:hAnsi="나눔고딕" w:cs="나눔고딕" w:hint="eastAsia"/>
          <w:sz w:val="20"/>
          <w:szCs w:val="20"/>
        </w:rPr>
        <w:t xml:space="preserve"> 혁신</w:t>
      </w:r>
      <w:r w:rsidR="00F0410F" w:rsidRPr="007F5E62">
        <w:rPr>
          <w:rFonts w:ascii="HY신명조" w:eastAsia="HY신명조" w:hAnsi="나눔고딕" w:cs="나눔고딕" w:hint="eastAsia"/>
          <w:sz w:val="20"/>
          <w:szCs w:val="20"/>
        </w:rPr>
        <w:t>이</w:t>
      </w:r>
      <w:r w:rsidRPr="007F5E62">
        <w:rPr>
          <w:rFonts w:ascii="HY신명조" w:eastAsia="HY신명조" w:hAnsi="나눔고딕" w:cs="나눔고딕" w:hint="eastAsia"/>
          <w:sz w:val="20"/>
          <w:szCs w:val="20"/>
        </w:rPr>
        <w:t xml:space="preserve"> 기업 성장의 중요한 요소임을 밝혔다. </w:t>
      </w:r>
      <w:r w:rsidR="00F0410F" w:rsidRPr="007F5E62">
        <w:rPr>
          <w:rFonts w:ascii="HY신명조" w:eastAsia="HY신명조" w:hAnsi="나눔고딕" w:cs="나눔고딕" w:hint="eastAsia"/>
          <w:sz w:val="20"/>
          <w:szCs w:val="20"/>
        </w:rPr>
        <w:t xml:space="preserve">선행연구에서 </w:t>
      </w:r>
      <w:r w:rsidRPr="007F5E62">
        <w:rPr>
          <w:rFonts w:ascii="HY신명조" w:eastAsia="HY신명조" w:hAnsi="나눔고딕" w:cs="나눔고딕" w:hint="eastAsia"/>
          <w:sz w:val="20"/>
          <w:szCs w:val="20"/>
        </w:rPr>
        <w:t>기술혁신</w:t>
      </w:r>
      <w:r w:rsidR="00115FBF" w:rsidRPr="007F5E62">
        <w:rPr>
          <w:rFonts w:ascii="HY신명조" w:eastAsia="HY신명조" w:hAnsi="나눔고딕" w:cs="나눔고딕" w:hint="eastAsia"/>
          <w:sz w:val="20"/>
          <w:szCs w:val="20"/>
        </w:rPr>
        <w:t>은 연구개발비, 교육훈련비 (</w:t>
      </w:r>
      <w:r w:rsidR="005A06DA">
        <w:rPr>
          <w:rFonts w:ascii="HY신명조" w:eastAsia="HY신명조" w:hAnsi="나눔고딕" w:cs="나눔고딕" w:hint="eastAsia"/>
          <w:sz w:val="20"/>
          <w:szCs w:val="20"/>
        </w:rPr>
        <w:t>김광두</w:t>
      </w:r>
      <w:r w:rsidR="00115FBF" w:rsidRPr="007F5E62">
        <w:rPr>
          <w:rFonts w:ascii="HY신명조" w:eastAsia="HY신명조" w:hAnsi="나눔고딕" w:cs="나눔고딕" w:hint="eastAsia"/>
          <w:sz w:val="20"/>
          <w:szCs w:val="20"/>
        </w:rPr>
        <w:t xml:space="preserve">, </w:t>
      </w:r>
      <w:r w:rsidR="005A06DA">
        <w:rPr>
          <w:rFonts w:ascii="HY신명조" w:eastAsia="HY신명조" w:hAnsi="나눔고딕" w:cs="나눔고딕" w:hint="eastAsia"/>
          <w:sz w:val="20"/>
          <w:szCs w:val="20"/>
        </w:rPr>
        <w:t>홍운선</w:t>
      </w:r>
      <w:r w:rsidR="00115FBF" w:rsidRPr="007F5E62">
        <w:rPr>
          <w:rFonts w:ascii="HY신명조" w:eastAsia="HY신명조" w:hAnsi="나눔고딕" w:cs="나눔고딕" w:hint="eastAsia"/>
          <w:sz w:val="20"/>
          <w:szCs w:val="20"/>
        </w:rPr>
        <w:t>,</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201</w:t>
      </w:r>
      <w:r w:rsidR="005A06DA">
        <w:rPr>
          <w:rFonts w:ascii="HY신명조" w:eastAsia="HY신명조" w:hAnsi="나눔고딕" w:cs="나눔고딕" w:hint="eastAsia"/>
          <w:sz w:val="20"/>
          <w:szCs w:val="20"/>
        </w:rPr>
        <w:t>1</w:t>
      </w:r>
      <w:r w:rsidR="00115FBF" w:rsidRPr="007F5E62">
        <w:rPr>
          <w:rFonts w:ascii="HY신명조" w:eastAsia="HY신명조" w:hAnsi="나눔고딕" w:cs="나눔고딕" w:hint="eastAsia"/>
          <w:sz w:val="20"/>
          <w:szCs w:val="20"/>
        </w:rPr>
        <w:t>) 혹은 특허수(Griliches,</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2007; Griliches,</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Pakes,</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Hall,</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1986; He,</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Tian,</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2013)</w:t>
      </w:r>
      <w:r w:rsidR="00635865">
        <w:rPr>
          <w:rFonts w:ascii="HY신명조" w:eastAsia="HY신명조" w:hAnsi="나눔고딕" w:cs="나눔고딕"/>
          <w:sz w:val="20"/>
          <w:szCs w:val="20"/>
        </w:rPr>
        <w:t xml:space="preserve"> </w:t>
      </w:r>
      <w:r w:rsidR="00F0410F" w:rsidRPr="007F5E62">
        <w:rPr>
          <w:rFonts w:ascii="HY신명조" w:eastAsia="HY신명조" w:hAnsi="나눔고딕" w:cs="나눔고딕" w:hint="eastAsia"/>
          <w:sz w:val="20"/>
          <w:szCs w:val="20"/>
        </w:rPr>
        <w:t>등으</w:t>
      </w:r>
      <w:r w:rsidR="00212E90" w:rsidRPr="007F5E62">
        <w:rPr>
          <w:rFonts w:ascii="HY신명조" w:eastAsia="HY신명조" w:hAnsi="나눔고딕" w:cs="나눔고딕" w:hint="eastAsia"/>
          <w:sz w:val="20"/>
          <w:szCs w:val="20"/>
        </w:rPr>
        <w:t>로 계량화</w:t>
      </w:r>
      <w:r w:rsidR="00F0410F" w:rsidRPr="007F5E62">
        <w:rPr>
          <w:rFonts w:ascii="HY신명조" w:eastAsia="HY신명조" w:hAnsi="나눔고딕" w:cs="나눔고딕" w:hint="eastAsia"/>
          <w:sz w:val="20"/>
          <w:szCs w:val="20"/>
        </w:rPr>
        <w:t>되었다</w:t>
      </w:r>
      <w:r w:rsidR="00212E90" w:rsidRPr="007F5E62">
        <w:rPr>
          <w:rFonts w:ascii="HY신명조" w:eastAsia="HY신명조" w:hAnsi="나눔고딕" w:cs="나눔고딕" w:hint="eastAsia"/>
          <w:sz w:val="20"/>
          <w:szCs w:val="20"/>
        </w:rPr>
        <w:t>. 본 연구는 기술혁신의 지표로 등록된</w:t>
      </w:r>
      <w:r w:rsidR="00F0410F" w:rsidRPr="007F5E62">
        <w:rPr>
          <w:rFonts w:ascii="HY신명조" w:eastAsia="HY신명조" w:hAnsi="나눔고딕" w:cs="나눔고딕" w:hint="eastAsia"/>
          <w:sz w:val="20"/>
          <w:szCs w:val="20"/>
        </w:rPr>
        <w:t>(granted)</w:t>
      </w:r>
      <w:r w:rsidR="00212E90" w:rsidRPr="007F5E62">
        <w:rPr>
          <w:rFonts w:ascii="HY신명조" w:eastAsia="HY신명조" w:hAnsi="나눔고딕" w:cs="나눔고딕" w:hint="eastAsia"/>
          <w:sz w:val="20"/>
          <w:szCs w:val="20"/>
        </w:rPr>
        <w:t xml:space="preserve"> 특허수를 선정했다. </w:t>
      </w:r>
      <w:r w:rsidRPr="007F5E62">
        <w:rPr>
          <w:rFonts w:ascii="HY신명조" w:eastAsia="HY신명조" w:hAnsi="나눔고딕" w:cs="나눔고딕" w:hint="eastAsia"/>
          <w:sz w:val="20"/>
          <w:szCs w:val="20"/>
        </w:rPr>
        <w:t>한편 기술혁신을 하기 위해서는 장기간 대규모 투자가 필요하기 때문에 기업, 재무, 투자 관련 변수가 기술혁신과 유의미한 관계를 갖는 것으로 조사되었다.</w:t>
      </w:r>
    </w:p>
    <w:p w14:paraId="48BDF98D" w14:textId="43D0DA93" w:rsidR="00883A62" w:rsidRPr="007F5E62" w:rsidRDefault="005239E4"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애널리스트의 역할은 순기능과 역기능이 모두 연구되었다. </w:t>
      </w:r>
      <w:r w:rsidR="00115FBF" w:rsidRPr="007F5E62">
        <w:rPr>
          <w:rFonts w:ascii="HY신명조" w:eastAsia="HY신명조" w:hAnsi="나눔고딕" w:cs="나눔고딕" w:hint="eastAsia"/>
          <w:sz w:val="20"/>
          <w:szCs w:val="20"/>
        </w:rPr>
        <w:t>He,</w:t>
      </w:r>
      <w:r w:rsidR="003E4D42">
        <w:rPr>
          <w:rFonts w:ascii="HY신명조" w:eastAsia="HY신명조" w:hAnsi="나눔고딕" w:cs="나눔고딕" w:hint="eastAsia"/>
          <w:sz w:val="20"/>
          <w:szCs w:val="20"/>
        </w:rPr>
        <w:t xml:space="preserve"> </w:t>
      </w:r>
      <w:r w:rsidR="00115FBF" w:rsidRPr="007F5E62">
        <w:rPr>
          <w:rFonts w:ascii="HY신명조" w:eastAsia="HY신명조" w:hAnsi="나눔고딕" w:cs="나눔고딕" w:hint="eastAsia"/>
          <w:sz w:val="20"/>
          <w:szCs w:val="20"/>
        </w:rPr>
        <w:t xml:space="preserve">Tian(2013)는 미국 </w:t>
      </w:r>
      <w:r w:rsidR="00115FBF" w:rsidRPr="007F5E62">
        <w:rPr>
          <w:rFonts w:ascii="HY신명조" w:eastAsia="HY신명조" w:hAnsi="나눔고딕" w:cs="나눔고딕" w:hint="eastAsia"/>
          <w:sz w:val="20"/>
          <w:szCs w:val="20"/>
        </w:rPr>
        <w:lastRenderedPageBreak/>
        <w:t>상장사를 대상으로 애널리스트의 커버리지가 기업혁신에 유의미한</w:t>
      </w:r>
      <w:r w:rsidR="00212E90" w:rsidRPr="007F5E62">
        <w:rPr>
          <w:rFonts w:ascii="HY신명조" w:eastAsia="HY신명조" w:hAnsi="나눔고딕" w:cs="나눔고딕" w:hint="eastAsia"/>
          <w:sz w:val="20"/>
          <w:szCs w:val="20"/>
        </w:rPr>
        <w:t xml:space="preserve"> 음의</w:t>
      </w:r>
      <w:r w:rsidR="00115FBF" w:rsidRPr="007F5E62">
        <w:rPr>
          <w:rFonts w:ascii="HY신명조" w:eastAsia="HY신명조" w:hAnsi="나눔고딕" w:cs="나눔고딕" w:hint="eastAsia"/>
          <w:sz w:val="20"/>
          <w:szCs w:val="20"/>
        </w:rPr>
        <w:t xml:space="preserve"> 인과관계가 있다는 결과를 도출했다. </w:t>
      </w:r>
      <w:r w:rsidRPr="007F5E62">
        <w:rPr>
          <w:rFonts w:ascii="HY신명조" w:eastAsia="HY신명조" w:hAnsi="나눔고딕" w:cs="나눔고딕" w:hint="eastAsia"/>
          <w:sz w:val="20"/>
          <w:szCs w:val="20"/>
        </w:rPr>
        <w:t>Graham,</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Harvey, Rajgopal(2005)는 경영진이 애널리스트의 분기 추정치를 벤치마크로 정하고 단기 실적에 집중</w:t>
      </w:r>
      <w:r w:rsidR="008E387A" w:rsidRPr="007F5E62">
        <w:rPr>
          <w:rFonts w:ascii="HY신명조" w:eastAsia="HY신명조" w:hAnsi="나눔고딕" w:cs="나눔고딕" w:hint="eastAsia"/>
          <w:sz w:val="20"/>
          <w:szCs w:val="20"/>
        </w:rPr>
        <w:t xml:space="preserve">하는 역기능을 강조한 반면에 </w:t>
      </w:r>
      <w:r w:rsidRPr="007F5E62">
        <w:rPr>
          <w:rFonts w:ascii="HY신명조" w:eastAsia="HY신명조" w:hAnsi="나눔고딕" w:cs="나눔고딕" w:hint="eastAsia"/>
          <w:sz w:val="20"/>
          <w:szCs w:val="20"/>
        </w:rPr>
        <w:t>Ellul,</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Panayides(2018)는 애널리스트가 주식시장에서 유동성을 공급</w:t>
      </w:r>
      <w:r w:rsidR="00F0410F" w:rsidRPr="007F5E62">
        <w:rPr>
          <w:rFonts w:ascii="HY신명조" w:eastAsia="HY신명조" w:hAnsi="나눔고딕" w:cs="나눔고딕" w:hint="eastAsia"/>
          <w:sz w:val="20"/>
          <w:szCs w:val="20"/>
        </w:rPr>
        <w:t>에 기여</w:t>
      </w:r>
      <w:r w:rsidRPr="007F5E62">
        <w:rPr>
          <w:rFonts w:ascii="HY신명조" w:eastAsia="HY신명조" w:hAnsi="나눔고딕" w:cs="나눔고딕" w:hint="eastAsia"/>
          <w:sz w:val="20"/>
          <w:szCs w:val="20"/>
        </w:rPr>
        <w:t>하고 기업가치를 설정하는 순기능을</w:t>
      </w:r>
      <w:r w:rsidR="008E387A" w:rsidRPr="007F5E62">
        <w:rPr>
          <w:rFonts w:ascii="HY신명조" w:eastAsia="HY신명조" w:hAnsi="나눔고딕" w:cs="나눔고딕" w:hint="eastAsia"/>
          <w:sz w:val="20"/>
          <w:szCs w:val="20"/>
        </w:rPr>
        <w:t xml:space="preserve"> 제시했다.</w:t>
      </w:r>
      <w:r w:rsidR="00883A62" w:rsidRPr="007F5E62">
        <w:rPr>
          <w:rFonts w:ascii="HY신명조" w:eastAsia="HY신명조" w:hAnsi="나눔고딕" w:cs="나눔고딕" w:hint="eastAsia"/>
          <w:sz w:val="20"/>
          <w:szCs w:val="20"/>
        </w:rPr>
        <w:t xml:space="preserve"> </w:t>
      </w:r>
    </w:p>
    <w:p w14:paraId="6BB9C5EB" w14:textId="748EFDF3" w:rsidR="003B2125" w:rsidRDefault="008E387A"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본 연구의 구성은 다음과 같다. 제Ⅱ</w:t>
      </w:r>
      <w:r w:rsidR="00E75F50" w:rsidRPr="007F5E62">
        <w:rPr>
          <w:rFonts w:ascii="HY신명조" w:eastAsia="HY신명조" w:hAnsi="나눔고딕" w:cs="나눔고딕" w:hint="eastAsia"/>
          <w:sz w:val="20"/>
          <w:szCs w:val="20"/>
        </w:rPr>
        <w:t>장</w:t>
      </w:r>
      <w:r w:rsidRPr="007F5E62">
        <w:rPr>
          <w:rFonts w:ascii="HY신명조" w:eastAsia="HY신명조" w:hAnsi="나눔고딕" w:cs="나눔고딕" w:hint="eastAsia"/>
          <w:sz w:val="20"/>
          <w:szCs w:val="20"/>
        </w:rPr>
        <w:t xml:space="preserve"> 기술혁신과 애널리스트의 영향력에 관련된 선행 연구들을 소개하고, 제Ⅲ</w:t>
      </w:r>
      <w:r w:rsidR="00E75F50" w:rsidRPr="007F5E62">
        <w:rPr>
          <w:rFonts w:ascii="HY신명조" w:eastAsia="HY신명조" w:hAnsi="나눔고딕" w:cs="나눔고딕" w:hint="eastAsia"/>
          <w:sz w:val="20"/>
          <w:szCs w:val="20"/>
        </w:rPr>
        <w:t>장</w:t>
      </w:r>
      <w:r w:rsidRPr="007F5E62">
        <w:rPr>
          <w:rFonts w:ascii="HY신명조" w:eastAsia="HY신명조" w:hAnsi="나눔고딕" w:cs="나눔고딕" w:hint="eastAsia"/>
          <w:sz w:val="20"/>
          <w:szCs w:val="20"/>
        </w:rPr>
        <w:t>은 기업혁신과 애널리스트 커버리지를 계량화하기 위한 자료 및 변수</w:t>
      </w:r>
      <w:r w:rsidR="00CA5E9A" w:rsidRPr="007F5E62">
        <w:rPr>
          <w:rFonts w:ascii="HY신명조" w:eastAsia="HY신명조" w:hAnsi="나눔고딕" w:cs="나눔고딕" w:hint="eastAsia"/>
          <w:sz w:val="20"/>
          <w:szCs w:val="20"/>
        </w:rPr>
        <w:t>를</w:t>
      </w:r>
      <w:r w:rsidRPr="007F5E62">
        <w:rPr>
          <w:rFonts w:ascii="HY신명조" w:eastAsia="HY신명조" w:hAnsi="나눔고딕" w:cs="나눔고딕" w:hint="eastAsia"/>
          <w:sz w:val="20"/>
          <w:szCs w:val="20"/>
        </w:rPr>
        <w:t xml:space="preserve"> 선정을 한다. 제Ⅳ</w:t>
      </w:r>
      <w:r w:rsidR="00E75F50" w:rsidRPr="007F5E62">
        <w:rPr>
          <w:rFonts w:ascii="HY신명조" w:eastAsia="HY신명조" w:hAnsi="나눔고딕" w:cs="나눔고딕" w:hint="eastAsia"/>
          <w:sz w:val="20"/>
          <w:szCs w:val="20"/>
        </w:rPr>
        <w:t>장</w:t>
      </w:r>
      <w:r w:rsidRPr="007F5E62">
        <w:rPr>
          <w:rFonts w:ascii="HY신명조" w:eastAsia="HY신명조" w:hAnsi="나눔고딕" w:cs="나눔고딕" w:hint="eastAsia"/>
          <w:sz w:val="20"/>
          <w:szCs w:val="20"/>
        </w:rPr>
        <w:t>은 패널 회귀분석 및 내생성 해소를 위한 2단계최소제곱법의 실증 결과와 해석을 정리한 후 Ⅴ</w:t>
      </w:r>
      <w:r w:rsidR="00E75F50" w:rsidRPr="007F5E62">
        <w:rPr>
          <w:rFonts w:ascii="HY신명조" w:eastAsia="HY신명조" w:hAnsi="나눔고딕" w:cs="나눔고딕" w:hint="eastAsia"/>
          <w:sz w:val="20"/>
          <w:szCs w:val="20"/>
        </w:rPr>
        <w:t>장</w:t>
      </w:r>
      <w:r w:rsidRPr="007F5E62">
        <w:rPr>
          <w:rFonts w:ascii="HY신명조" w:eastAsia="HY신명조" w:hAnsi="나눔고딕" w:cs="나눔고딕" w:hint="eastAsia"/>
          <w:sz w:val="20"/>
          <w:szCs w:val="20"/>
        </w:rPr>
        <w:t>에서 결론 및 시사점을 도출한다</w:t>
      </w:r>
    </w:p>
    <w:p w14:paraId="2CB143E5" w14:textId="77777777" w:rsidR="003B2125" w:rsidRDefault="003B2125" w:rsidP="00C831C9">
      <w:pPr>
        <w:jc w:val="both"/>
        <w:rPr>
          <w:rFonts w:ascii="HY신명조" w:eastAsia="HY신명조" w:hAnsi="나눔고딕" w:cs="나눔고딕"/>
          <w:sz w:val="20"/>
          <w:szCs w:val="20"/>
        </w:rPr>
      </w:pPr>
      <w:r>
        <w:rPr>
          <w:rFonts w:ascii="HY신명조" w:eastAsia="HY신명조" w:hAnsi="나눔고딕" w:cs="나눔고딕"/>
          <w:sz w:val="20"/>
          <w:szCs w:val="20"/>
        </w:rPr>
        <w:br w:type="page"/>
      </w:r>
    </w:p>
    <w:p w14:paraId="70D0E7DC" w14:textId="3B1B70A9" w:rsidR="00286A95" w:rsidRPr="007F5E62" w:rsidRDefault="00851691" w:rsidP="00117637">
      <w:pPr>
        <w:widowControl w:val="0"/>
        <w:numPr>
          <w:ilvl w:val="0"/>
          <w:numId w:val="3"/>
        </w:numPr>
        <w:pBdr>
          <w:top w:val="nil"/>
          <w:left w:val="nil"/>
          <w:bottom w:val="nil"/>
          <w:right w:val="nil"/>
          <w:between w:val="nil"/>
        </w:pBdr>
        <w:spacing w:line="420" w:lineRule="auto"/>
        <w:ind w:leftChars="194" w:left="519" w:hanging="92"/>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선행연구의 고찰</w:t>
      </w:r>
    </w:p>
    <w:p w14:paraId="0ECCE844" w14:textId="4617B812" w:rsidR="00851691" w:rsidRPr="007F5E6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본 연구는 기술혁신과 애널리스트 영향력</w:t>
      </w:r>
      <w:r w:rsidR="006A641B" w:rsidRPr="007F5E62">
        <w:rPr>
          <w:rFonts w:ascii="HY신명조" w:eastAsia="HY신명조" w:hAnsi="나눔고딕" w:cs="나눔고딕" w:hint="eastAsia"/>
          <w:sz w:val="20"/>
          <w:szCs w:val="20"/>
        </w:rPr>
        <w:t>과</w:t>
      </w:r>
      <w:r w:rsidRPr="007F5E62">
        <w:rPr>
          <w:rFonts w:ascii="HY신명조" w:eastAsia="HY신명조" w:hAnsi="나눔고딕" w:cs="나눔고딕" w:hint="eastAsia"/>
          <w:sz w:val="20"/>
          <w:szCs w:val="20"/>
        </w:rPr>
        <w:t xml:space="preserve"> 관련 두 분야의 선행연구을 기반으로 진행했다. 우선 기술혁신과 재무성과</w:t>
      </w:r>
      <w:r w:rsidR="003E4D42">
        <w:rPr>
          <w:rFonts w:ascii="HY신명조" w:eastAsia="HY신명조" w:hAnsi="나눔고딕" w:cs="나눔고딕" w:hint="eastAsia"/>
          <w:sz w:val="20"/>
          <w:szCs w:val="20"/>
        </w:rPr>
        <w:t xml:space="preserve"> 및</w:t>
      </w:r>
      <w:r w:rsidRPr="007F5E62">
        <w:rPr>
          <w:rFonts w:ascii="HY신명조" w:eastAsia="HY신명조" w:hAnsi="나눔고딕" w:cs="나눔고딕" w:hint="eastAsia"/>
          <w:sz w:val="20"/>
          <w:szCs w:val="20"/>
        </w:rPr>
        <w:t xml:space="preserve"> 주식시장과의 관계이다. 이정길</w:t>
      </w:r>
      <w:r w:rsidR="00EF138A" w:rsidRPr="007F5E6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2019</w:t>
      </w:r>
      <w:r w:rsidR="00EF138A" w:rsidRPr="007F5E6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김광두,</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홍운선</w:t>
      </w:r>
      <w:r w:rsidR="00EF138A" w:rsidRPr="007F5E6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2011)</w:t>
      </w:r>
      <w:r w:rsidR="00EF138A" w:rsidRPr="007F5E62">
        <w:rPr>
          <w:rFonts w:ascii="HY신명조" w:eastAsia="HY신명조" w:hAnsi="나눔고딕" w:cs="나눔고딕" w:hint="eastAsia"/>
          <w:sz w:val="20"/>
          <w:szCs w:val="20"/>
        </w:rPr>
        <w:t xml:space="preserve">은 </w:t>
      </w:r>
      <w:r w:rsidRPr="007F5E62">
        <w:rPr>
          <w:rFonts w:ascii="HY신명조" w:eastAsia="HY신명조" w:hAnsi="나눔고딕" w:cs="나눔고딕" w:hint="eastAsia"/>
          <w:sz w:val="20"/>
          <w:szCs w:val="20"/>
        </w:rPr>
        <w:t xml:space="preserve">기술혁신이 기업가치에 유의미한 양의 영향을 </w:t>
      </w:r>
      <w:r w:rsidR="005F3BE5" w:rsidRPr="007F5E62">
        <w:rPr>
          <w:rFonts w:ascii="HY신명조" w:eastAsia="HY신명조" w:hAnsi="나눔고딕" w:cs="나눔고딕" w:hint="eastAsia"/>
          <w:sz w:val="20"/>
          <w:szCs w:val="20"/>
        </w:rPr>
        <w:t>준다는</w:t>
      </w:r>
      <w:r w:rsidR="00EF138A" w:rsidRPr="007F5E62">
        <w:rPr>
          <w:rFonts w:ascii="HY신명조" w:eastAsia="HY신명조" w:hAnsi="나눔고딕" w:cs="나눔고딕" w:hint="eastAsia"/>
          <w:sz w:val="20"/>
          <w:szCs w:val="20"/>
        </w:rPr>
        <w:t xml:space="preserve"> 결과를 도출하여 기술혁신이 기업 성장에 중요한 요소임을 밝혔다. </w:t>
      </w:r>
      <w:r w:rsidRPr="007F5E62">
        <w:rPr>
          <w:rFonts w:ascii="HY신명조" w:eastAsia="HY신명조" w:hAnsi="나눔고딕" w:cs="나눔고딕" w:hint="eastAsia"/>
          <w:sz w:val="20"/>
          <w:szCs w:val="20"/>
        </w:rPr>
        <w:t>기업혁신을 계량화하기 위해서 다양한 지표가 사용되었다. 김광용, 김진주(2019)는 혁신지표로 연구개발비용, 교육훈련비율 등을 사용</w:t>
      </w:r>
      <w:r w:rsidR="005F3BE5" w:rsidRPr="007F5E62">
        <w:rPr>
          <w:rFonts w:ascii="HY신명조" w:eastAsia="HY신명조" w:hAnsi="나눔고딕" w:cs="나눔고딕" w:hint="eastAsia"/>
          <w:sz w:val="20"/>
          <w:szCs w:val="20"/>
        </w:rPr>
        <w:t>하여</w:t>
      </w:r>
      <w:r w:rsidRPr="007F5E62">
        <w:rPr>
          <w:rFonts w:ascii="HY신명조" w:eastAsia="HY신명조" w:hAnsi="나눔고딕" w:cs="나눔고딕" w:hint="eastAsia"/>
          <w:sz w:val="20"/>
          <w:szCs w:val="20"/>
        </w:rPr>
        <w:t xml:space="preserve"> </w:t>
      </w:r>
      <w:r w:rsidR="005F3BE5" w:rsidRPr="007F5E62">
        <w:rPr>
          <w:rFonts w:ascii="HY신명조" w:eastAsia="HY신명조" w:hAnsi="나눔고딕" w:cs="나눔고딕" w:hint="eastAsia"/>
          <w:sz w:val="20"/>
          <w:szCs w:val="20"/>
        </w:rPr>
        <w:t xml:space="preserve">혁신과 </w:t>
      </w:r>
      <w:r w:rsidRPr="007F5E62">
        <w:rPr>
          <w:rFonts w:ascii="HY신명조" w:eastAsia="HY신명조" w:hAnsi="나눔고딕" w:cs="나눔고딕" w:hint="eastAsia"/>
          <w:sz w:val="20"/>
          <w:szCs w:val="20"/>
        </w:rPr>
        <w:t>기업가치</w:t>
      </w:r>
      <w:r w:rsidR="005F3BE5" w:rsidRPr="007F5E62">
        <w:rPr>
          <w:rFonts w:ascii="HY신명조" w:eastAsia="HY신명조" w:hAnsi="나눔고딕" w:cs="나눔고딕" w:hint="eastAsia"/>
          <w:sz w:val="20"/>
          <w:szCs w:val="20"/>
        </w:rPr>
        <w:t xml:space="preserve"> 사이</w:t>
      </w:r>
      <w:r w:rsidRPr="007F5E62">
        <w:rPr>
          <w:rFonts w:ascii="HY신명조" w:eastAsia="HY신명조" w:hAnsi="나눔고딕" w:cs="나눔고딕" w:hint="eastAsia"/>
          <w:sz w:val="20"/>
          <w:szCs w:val="20"/>
        </w:rPr>
        <w:t xml:space="preserve"> 양의 관계를 도출했다. 한편 Griliches(2007), Griliches,</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Pakes,</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Hall(1986)는 기업혁신을 측정하기 위해서 특허수의 관련성을 연구</w:t>
      </w:r>
      <w:r w:rsidR="005F3BE5" w:rsidRPr="007F5E62">
        <w:rPr>
          <w:rFonts w:ascii="HY신명조" w:eastAsia="HY신명조" w:hAnsi="나눔고딕" w:cs="나눔고딕" w:hint="eastAsia"/>
          <w:sz w:val="20"/>
          <w:szCs w:val="20"/>
        </w:rPr>
        <w:t>했으며</w:t>
      </w:r>
      <w:r w:rsidRPr="007F5E62">
        <w:rPr>
          <w:rFonts w:ascii="HY신명조" w:eastAsia="HY신명조" w:hAnsi="나눔고딕" w:cs="나눔고딕" w:hint="eastAsia"/>
          <w:sz w:val="20"/>
          <w:szCs w:val="20"/>
        </w:rPr>
        <w:t xml:space="preserve"> Pohlmann, Neuh</w:t>
      </w:r>
      <w:r w:rsidRPr="007F5E62">
        <w:rPr>
          <w:rFonts w:ascii="HY신명조" w:eastAsia="HY신명조" w:hAnsi="나눔고딕" w:cs="나눔고딕" w:hint="eastAsia"/>
          <w:sz w:val="20"/>
          <w:szCs w:val="20"/>
        </w:rPr>
        <w:t>ä</w:t>
      </w:r>
      <w:r w:rsidRPr="007F5E62">
        <w:rPr>
          <w:rFonts w:ascii="HY신명조" w:eastAsia="HY신명조" w:hAnsi="나눔고딕" w:cs="나눔고딕" w:hint="eastAsia"/>
          <w:sz w:val="20"/>
          <w:szCs w:val="20"/>
        </w:rPr>
        <w:t xml:space="preserve">usler, Blind (2016)는 기업이 전략적으로 기술표준에 </w:t>
      </w:r>
      <w:r w:rsidR="005F3BE5" w:rsidRPr="007F5E62">
        <w:rPr>
          <w:rFonts w:ascii="HY신명조" w:eastAsia="HY신명조" w:hAnsi="나눔고딕" w:cs="나눔고딕" w:hint="eastAsia"/>
          <w:sz w:val="20"/>
          <w:szCs w:val="20"/>
        </w:rPr>
        <w:t>기여하는 특허를 가진 때</w:t>
      </w:r>
      <w:r w:rsidRPr="007F5E62">
        <w:rPr>
          <w:rFonts w:ascii="HY신명조" w:eastAsia="HY신명조" w:hAnsi="나눔고딕" w:cs="나눔고딕" w:hint="eastAsia"/>
          <w:sz w:val="20"/>
          <w:szCs w:val="20"/>
        </w:rPr>
        <w:t xml:space="preserve"> 재무 성과를 개선시킬 수 있다고 주장한다. </w:t>
      </w:r>
    </w:p>
    <w:p w14:paraId="5907541F" w14:textId="4840A18B" w:rsidR="00851691" w:rsidRPr="007F5E6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한편 기업, 재무, 투자 관련 변수와 기술혁신과의 인과성을 검증하는 선행연구가 </w:t>
      </w:r>
      <w:r w:rsidR="00786906" w:rsidRPr="007F5E62">
        <w:rPr>
          <w:rFonts w:ascii="HY신명조" w:eastAsia="HY신명조" w:hAnsi="나눔고딕" w:cs="나눔고딕" w:hint="eastAsia"/>
          <w:sz w:val="20"/>
          <w:szCs w:val="20"/>
        </w:rPr>
        <w:t xml:space="preserve">다수 존재한다. </w:t>
      </w:r>
      <w:r w:rsidRPr="007F5E62">
        <w:rPr>
          <w:rFonts w:ascii="HY신명조" w:eastAsia="HY신명조" w:hAnsi="나눔고딕" w:cs="나눔고딕" w:hint="eastAsia"/>
          <w:sz w:val="20"/>
          <w:szCs w:val="20"/>
        </w:rPr>
        <w:t>박준우(2009), 유민화,</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박중구(2006)는 기업의 임직원수가 기술혁신과 음의 관계를 가지는 결과를 도출했다. 기술혁신을 위해서는 장기간 대규모 자본을 투자해야 하기 때문에 부채비율, 현금보유, 기업의 연령 역시 중요한 변수로 연구되었다. (Brown, Petersen, 2011; Moyen, 2007; Peyer, Shivdasani, 2001; Ho, Tjahjapranata, Yap,2006; David, Valeriy,</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2009; 조삼용,</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신선우,</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이훈현,</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2004; 박원, 허익구,</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2011) </w:t>
      </w:r>
      <w:r w:rsidR="00786906" w:rsidRPr="007F5E62">
        <w:rPr>
          <w:rFonts w:ascii="HY신명조" w:eastAsia="HY신명조" w:hAnsi="나눔고딕" w:cs="나눔고딕" w:hint="eastAsia"/>
          <w:sz w:val="20"/>
          <w:szCs w:val="20"/>
        </w:rPr>
        <w:t>또한</w:t>
      </w:r>
      <w:r w:rsidRPr="007F5E62">
        <w:rPr>
          <w:rFonts w:ascii="HY신명조" w:eastAsia="HY신명조" w:hAnsi="나눔고딕" w:cs="나눔고딕" w:hint="eastAsia"/>
          <w:sz w:val="20"/>
          <w:szCs w:val="20"/>
        </w:rPr>
        <w:t xml:space="preserve"> 상장사는 주식시장 내 이해 관계자들과의 관계에 따라 기업 혁신이 영향을 받는다. Hoskisson,</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Hitt,</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Grossman (2002)는 기관투자자의 성향에 따라 혁신에 대한 선호도가 상이하며 Fang,</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Tian,</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Tice (2014)는 주식의 유동성이 기업 혁신과 인과 관계를 가진다고 주장한다.  김경묵(2003)에 따르면 국내 상장사의 경영자, 외국인, 기관투자자 지분율이 연구개발투자와 유의미한 관계를 가졌다.</w:t>
      </w:r>
    </w:p>
    <w:p w14:paraId="195BDBC9" w14:textId="4AC7CF8C" w:rsidR="00286A95" w:rsidRPr="007F5E62" w:rsidRDefault="00851691" w:rsidP="00C831C9">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두번째 애널리스트가 주식시장에 광범위하게 영향을 미친다. (Irvine,</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2003; Jegadeesh,</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Kim,</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2006; Chang, Dasgupta, Hilary,</w:t>
      </w:r>
      <w:r w:rsidR="003E4D4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2006; Ellul,</w:t>
      </w:r>
      <w:r w:rsidR="00A90DD1">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 xml:space="preserve">Panayides, </w:t>
      </w:r>
      <w:r w:rsidRPr="007F5E62">
        <w:rPr>
          <w:rFonts w:ascii="HY신명조" w:eastAsia="HY신명조" w:hAnsi="나눔고딕" w:cs="나눔고딕" w:hint="eastAsia"/>
          <w:sz w:val="20"/>
          <w:szCs w:val="20"/>
        </w:rPr>
        <w:lastRenderedPageBreak/>
        <w:t>2018; 류두진,</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김가람,</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양희진,</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2019; 김가람,</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양희진,</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류두진,</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2020) He,</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Tian(2013)은 미국 상장사를 대상으로 애널리스트의 영향력이 기술혁신에 미치는 결과를 연구</w:t>
      </w:r>
      <w:r w:rsidR="00F677B2" w:rsidRPr="007F5E62">
        <w:rPr>
          <w:rFonts w:ascii="HY신명조" w:eastAsia="HY신명조" w:hAnsi="나눔고딕" w:cs="나눔고딕" w:hint="eastAsia"/>
          <w:sz w:val="20"/>
          <w:szCs w:val="20"/>
        </w:rPr>
        <w:t xml:space="preserve">하여 두 변수 사이 음의 인과관계를 도출했다. </w:t>
      </w:r>
      <w:r w:rsidRPr="007F5E62">
        <w:rPr>
          <w:rFonts w:ascii="HY신명조" w:eastAsia="HY신명조" w:hAnsi="나눔고딕" w:cs="나눔고딕" w:hint="eastAsia"/>
          <w:sz w:val="20"/>
          <w:szCs w:val="20"/>
        </w:rPr>
        <w:t>애널리스트의 커버리지</w:t>
      </w:r>
      <w:r w:rsidR="003E4D42">
        <w:rPr>
          <w:rFonts w:ascii="HY신명조" w:eastAsia="HY신명조" w:hAnsi="나눔고딕" w:cs="나눔고딕" w:hint="eastAsia"/>
          <w:sz w:val="20"/>
          <w:szCs w:val="20"/>
        </w:rPr>
        <w:t>는</w:t>
      </w:r>
      <w:r w:rsidRPr="007F5E62">
        <w:rPr>
          <w:rFonts w:ascii="HY신명조" w:eastAsia="HY신명조" w:hAnsi="나눔고딕" w:cs="나눔고딕" w:hint="eastAsia"/>
          <w:sz w:val="20"/>
          <w:szCs w:val="20"/>
        </w:rPr>
        <w:t xml:space="preserve"> 상장 기업의 경영진이 단기 실적을 중시하게 만들기 때문에 기술혁신을 저해</w:t>
      </w:r>
      <w:r w:rsidR="00F677B2" w:rsidRPr="007F5E62">
        <w:rPr>
          <w:rFonts w:ascii="HY신명조" w:eastAsia="HY신명조" w:hAnsi="나눔고딕" w:cs="나눔고딕" w:hint="eastAsia"/>
          <w:sz w:val="20"/>
          <w:szCs w:val="20"/>
        </w:rPr>
        <w:t>한다고 주장한다. 한편</w:t>
      </w:r>
      <w:r w:rsidRPr="007F5E62">
        <w:rPr>
          <w:rFonts w:ascii="HY신명조" w:eastAsia="HY신명조" w:hAnsi="나눔고딕" w:cs="나눔고딕" w:hint="eastAsia"/>
          <w:sz w:val="20"/>
          <w:szCs w:val="20"/>
        </w:rPr>
        <w:t xml:space="preserve"> 선행연구는 애널리스트 영향력의 역기능과 순기능을 모두 보여준다. Graham,</w:t>
      </w:r>
      <w:r w:rsidR="002740D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Harvey, Rajgopal (2005)는 경영진이 애널리스트의 분기 추정치를 벤치마크</w:t>
      </w:r>
      <w:r w:rsidR="005239E4" w:rsidRPr="007F5E62">
        <w:rPr>
          <w:rFonts w:ascii="HY신명조" w:eastAsia="HY신명조" w:hAnsi="나눔고딕" w:cs="나눔고딕" w:hint="eastAsia"/>
          <w:sz w:val="20"/>
          <w:szCs w:val="20"/>
        </w:rPr>
        <w:t>로</w:t>
      </w:r>
      <w:r w:rsidRPr="007F5E62">
        <w:rPr>
          <w:rFonts w:ascii="HY신명조" w:eastAsia="HY신명조" w:hAnsi="나눔고딕" w:cs="나눔고딕" w:hint="eastAsia"/>
          <w:sz w:val="20"/>
          <w:szCs w:val="20"/>
        </w:rPr>
        <w:t xml:space="preserve"> </w:t>
      </w:r>
      <w:r w:rsidR="005239E4" w:rsidRPr="007F5E62">
        <w:rPr>
          <w:rFonts w:ascii="HY신명조" w:eastAsia="HY신명조" w:hAnsi="나눔고딕" w:cs="나눔고딕" w:hint="eastAsia"/>
          <w:sz w:val="20"/>
          <w:szCs w:val="20"/>
        </w:rPr>
        <w:t>정하고</w:t>
      </w:r>
      <w:r w:rsidRPr="007F5E62">
        <w:rPr>
          <w:rFonts w:ascii="HY신명조" w:eastAsia="HY신명조" w:hAnsi="나눔고딕" w:cs="나눔고딕" w:hint="eastAsia"/>
          <w:sz w:val="20"/>
          <w:szCs w:val="20"/>
        </w:rPr>
        <w:t xml:space="preserve"> 단기 실적에 지나치게 집중한다고 주장한다. Bradshaw, Richardson, Sloan (2006) 역시 애널리스트의 추정치가 지나치게 낙관적이기 때문에 기업의 가치를 왜곡</w:t>
      </w:r>
      <w:r w:rsidR="00F677B2" w:rsidRPr="007F5E62">
        <w:rPr>
          <w:rFonts w:ascii="HY신명조" w:eastAsia="HY신명조" w:hAnsi="나눔고딕" w:cs="나눔고딕" w:hint="eastAsia"/>
          <w:sz w:val="20"/>
          <w:szCs w:val="20"/>
        </w:rPr>
        <w:t xml:space="preserve">시키는 </w:t>
      </w:r>
      <w:r w:rsidRPr="007F5E62">
        <w:rPr>
          <w:rFonts w:ascii="HY신명조" w:eastAsia="HY신명조" w:hAnsi="나눔고딕" w:cs="나눔고딕" w:hint="eastAsia"/>
          <w:sz w:val="20"/>
          <w:szCs w:val="20"/>
        </w:rPr>
        <w:t>역기능을 제시했다. 한편 Ellul,</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Panayides(2018)는 애널리스트가 주식시장에서 유동성</w:t>
      </w:r>
      <w:r w:rsidR="00F677B2" w:rsidRPr="007F5E62">
        <w:rPr>
          <w:rFonts w:ascii="HY신명조" w:eastAsia="HY신명조" w:hAnsi="나눔고딕" w:cs="나눔고딕" w:hint="eastAsia"/>
          <w:sz w:val="20"/>
          <w:szCs w:val="20"/>
        </w:rPr>
        <w:t>이</w:t>
      </w:r>
      <w:r w:rsidRPr="007F5E62">
        <w:rPr>
          <w:rFonts w:ascii="HY신명조" w:eastAsia="HY신명조" w:hAnsi="나눔고딕" w:cs="나눔고딕" w:hint="eastAsia"/>
          <w:sz w:val="20"/>
          <w:szCs w:val="20"/>
        </w:rPr>
        <w:t xml:space="preserve"> 공급</w:t>
      </w:r>
      <w:r w:rsidR="00F677B2" w:rsidRPr="007F5E62">
        <w:rPr>
          <w:rFonts w:ascii="HY신명조" w:eastAsia="HY신명조" w:hAnsi="나눔고딕" w:cs="나눔고딕" w:hint="eastAsia"/>
          <w:sz w:val="20"/>
          <w:szCs w:val="20"/>
        </w:rPr>
        <w:t>되는데 기여</w:t>
      </w:r>
      <w:r w:rsidRPr="007F5E62">
        <w:rPr>
          <w:rFonts w:ascii="HY신명조" w:eastAsia="HY신명조" w:hAnsi="나눔고딕" w:cs="나눔고딕" w:hint="eastAsia"/>
          <w:sz w:val="20"/>
          <w:szCs w:val="20"/>
        </w:rPr>
        <w:t>하고 기업가치</w:t>
      </w:r>
      <w:r w:rsidR="00F677B2" w:rsidRPr="007F5E62">
        <w:rPr>
          <w:rFonts w:ascii="HY신명조" w:eastAsia="HY신명조" w:hAnsi="나눔고딕" w:cs="나눔고딕" w:hint="eastAsia"/>
          <w:sz w:val="20"/>
          <w:szCs w:val="20"/>
        </w:rPr>
        <w:t>의 기준을</w:t>
      </w:r>
      <w:r w:rsidRPr="007F5E62">
        <w:rPr>
          <w:rFonts w:ascii="HY신명조" w:eastAsia="HY신명조" w:hAnsi="나눔고딕" w:cs="나눔고딕" w:hint="eastAsia"/>
          <w:sz w:val="20"/>
          <w:szCs w:val="20"/>
        </w:rPr>
        <w:t xml:space="preserve"> 설정하는 순기능을 밝혔다. 임병권, 박재환(2017)는 애널리스트가 기업과 산업 정보를 제공하여 자본시장에 긍정적이며 정석우,</w:t>
      </w:r>
      <w:r w:rsidR="002740D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한형성,</w:t>
      </w:r>
      <w:r w:rsidR="002740D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임태균(2011)</w:t>
      </w:r>
      <w:r w:rsidR="00B4109C" w:rsidRPr="007F5E62">
        <w:rPr>
          <w:rFonts w:ascii="HY신명조" w:eastAsia="HY신명조" w:hAnsi="나눔고딕" w:cs="나눔고딕" w:hint="eastAsia"/>
          <w:sz w:val="20"/>
          <w:szCs w:val="20"/>
        </w:rPr>
        <w:t>는</w:t>
      </w:r>
      <w:r w:rsidRPr="007F5E62">
        <w:rPr>
          <w:rFonts w:ascii="HY신명조" w:eastAsia="HY신명조" w:hAnsi="나눔고딕" w:cs="나눔고딕" w:hint="eastAsia"/>
          <w:sz w:val="20"/>
          <w:szCs w:val="20"/>
        </w:rPr>
        <w:t xml:space="preserve"> 애널리스트는 산업지식을 공급하여 투자자와 경영자의 의사결정에 기여</w:t>
      </w:r>
      <w:r w:rsidR="00B4109C" w:rsidRPr="007F5E62">
        <w:rPr>
          <w:rFonts w:ascii="HY신명조" w:eastAsia="HY신명조" w:hAnsi="나눔고딕" w:cs="나눔고딕" w:hint="eastAsia"/>
          <w:sz w:val="20"/>
          <w:szCs w:val="20"/>
        </w:rPr>
        <w:t>한다고 주장한다.</w:t>
      </w:r>
    </w:p>
    <w:p w14:paraId="5533DF36" w14:textId="77777777" w:rsidR="00E1733F" w:rsidRPr="007F5E62" w:rsidRDefault="00E1733F"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6EE6C164" w14:textId="77777777" w:rsidR="00753CEA" w:rsidRPr="007F5E62" w:rsidRDefault="00753CEA" w:rsidP="00C831C9">
      <w:pP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br w:type="page"/>
      </w:r>
    </w:p>
    <w:p w14:paraId="740B610B" w14:textId="11907BB6" w:rsidR="00286A95" w:rsidRPr="007F5E62" w:rsidRDefault="00AB7484" w:rsidP="00123EDC">
      <w:pPr>
        <w:widowControl w:val="0"/>
        <w:numPr>
          <w:ilvl w:val="0"/>
          <w:numId w:val="3"/>
        </w:numPr>
        <w:pBdr>
          <w:top w:val="nil"/>
          <w:left w:val="nil"/>
          <w:bottom w:val="nil"/>
          <w:right w:val="nil"/>
          <w:between w:val="nil"/>
        </w:pBdr>
        <w:spacing w:line="420" w:lineRule="auto"/>
        <w:ind w:leftChars="258" w:left="660" w:hanging="92"/>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자료 선정 및 검증방법</w:t>
      </w:r>
    </w:p>
    <w:p w14:paraId="7396D795" w14:textId="77777777" w:rsidR="00286A95" w:rsidRPr="007F5E6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7F5E62">
        <w:rPr>
          <w:rFonts w:ascii="HY신명조" w:eastAsia="HY신명조" w:hAnsi="나눔고딕" w:cs="나눔고딕" w:hint="eastAsia"/>
          <w:sz w:val="26"/>
          <w:szCs w:val="26"/>
        </w:rPr>
        <w:t>자료 선정</w:t>
      </w:r>
    </w:p>
    <w:p w14:paraId="3A7479F1" w14:textId="255F1F68"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본 연구에서는 2003년 1월 2일부터 2012년 12월 31일까지 국내 주식시장에 상장되어 있는 기업에 관련된 자료를 사용했다. 우선 애널리스트의 커버리지수는 위 기간에 에프앤가이드(Fnguide)에 등록된 보고서를 기준으로 산출했다.</w:t>
      </w:r>
      <w:r w:rsidR="00A80775" w:rsidRPr="007F5E62">
        <w:rPr>
          <w:rFonts w:ascii="HY신명조" w:eastAsia="HY신명조" w:hAnsi="나눔고딕" w:cs="나눔고딕" w:hint="eastAsia"/>
          <w:sz w:val="20"/>
          <w:szCs w:val="20"/>
        </w:rPr>
        <w:t xml:space="preserve"> 에프앤가이드</w:t>
      </w:r>
      <w:r w:rsidR="00B26A66" w:rsidRPr="007F5E62">
        <w:rPr>
          <w:rFonts w:ascii="HY신명조" w:eastAsia="HY신명조" w:hAnsi="나눔고딕" w:cs="나눔고딕" w:hint="eastAsia"/>
          <w:sz w:val="20"/>
          <w:szCs w:val="20"/>
        </w:rPr>
        <w:t xml:space="preserve">가 애널리스트의 커버리지 데이터를 2002년 연중부터 축적했기 때문에 </w:t>
      </w:r>
      <w:r w:rsidR="00A80775" w:rsidRPr="007F5E62">
        <w:rPr>
          <w:rFonts w:ascii="HY신명조" w:eastAsia="HY신명조" w:hAnsi="나눔고딕" w:cs="나눔고딕" w:hint="eastAsia"/>
          <w:sz w:val="20"/>
          <w:szCs w:val="20"/>
        </w:rPr>
        <w:t xml:space="preserve">2003년을 </w:t>
      </w:r>
      <w:r w:rsidR="00B26A66" w:rsidRPr="007F5E62">
        <w:rPr>
          <w:rFonts w:ascii="HY신명조" w:eastAsia="HY신명조" w:hAnsi="나눔고딕" w:cs="나눔고딕" w:hint="eastAsia"/>
          <w:sz w:val="20"/>
          <w:szCs w:val="20"/>
        </w:rPr>
        <w:t xml:space="preserve">시작연도로 설정했다. </w:t>
      </w:r>
      <w:r w:rsidRPr="007F5E62">
        <w:rPr>
          <w:rFonts w:ascii="HY신명조" w:eastAsia="HY신명조" w:hAnsi="나눔고딕" w:cs="나눔고딕" w:hint="eastAsia"/>
          <w:sz w:val="20"/>
          <w:szCs w:val="20"/>
        </w:rPr>
        <w:t xml:space="preserve"> 특허 데이터는 애널리스트 커버리지가 있는 기업을 기준으로 특허청에서 운영하는 특허정보검색서비스 키프리스에서 수집했다. 이외 기업, 재무, 투자 관련 데이터는 에프앤가이드(Fnguide)의 Quantiwise 서비스를 통해 정리했다. 앞의 추출 과정에서 회귀분석을 진행하기 위한 기업/연도 기반의 586개의 </w:t>
      </w:r>
      <w:r w:rsidR="00EF1486" w:rsidRPr="007F5E62">
        <w:rPr>
          <w:rFonts w:ascii="HY신명조" w:eastAsia="HY신명조" w:hAnsi="나눔고딕" w:cs="나눔고딕" w:hint="eastAsia"/>
          <w:sz w:val="20"/>
          <w:szCs w:val="20"/>
        </w:rPr>
        <w:t xml:space="preserve">최종 </w:t>
      </w:r>
      <w:r w:rsidRPr="007F5E62">
        <w:rPr>
          <w:rFonts w:ascii="HY신명조" w:eastAsia="HY신명조" w:hAnsi="나눔고딕" w:cs="나눔고딕" w:hint="eastAsia"/>
          <w:sz w:val="20"/>
          <w:szCs w:val="20"/>
        </w:rPr>
        <w:t>관측치를 추출했다.</w:t>
      </w:r>
    </w:p>
    <w:p w14:paraId="2176D41D" w14:textId="77777777" w:rsidR="00286A95" w:rsidRPr="007F5E6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66B433E6" w14:textId="77777777" w:rsidR="00286A95" w:rsidRPr="007F5E6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7F5E62">
        <w:rPr>
          <w:rFonts w:ascii="HY신명조" w:eastAsia="HY신명조" w:hAnsi="나눔고딕" w:cs="나눔고딕" w:hint="eastAsia"/>
          <w:sz w:val="26"/>
          <w:szCs w:val="26"/>
        </w:rPr>
        <w:t>변수 측정</w:t>
      </w:r>
    </w:p>
    <w:p w14:paraId="2A37F6D1" w14:textId="77777777" w:rsidR="00286A95" w:rsidRPr="007F5E62" w:rsidRDefault="00AB7484"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7F5E62">
        <w:rPr>
          <w:rFonts w:ascii="HY신명조" w:eastAsia="HY신명조" w:hAnsi="나눔고딕" w:cs="나눔고딕" w:hint="eastAsia"/>
          <w:sz w:val="24"/>
          <w:szCs w:val="24"/>
        </w:rPr>
        <w:t>혁신 측정</w:t>
      </w:r>
    </w:p>
    <w:p w14:paraId="400477DB" w14:textId="1C7EBE6F"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본 연구는 기업혁신을 </w:t>
      </w:r>
      <w:r w:rsidR="00821A6D" w:rsidRPr="007F5E62">
        <w:rPr>
          <w:rFonts w:ascii="HY신명조" w:eastAsia="HY신명조" w:hAnsi="나눔고딕" w:cs="나눔고딕" w:hint="eastAsia"/>
          <w:sz w:val="20"/>
          <w:szCs w:val="20"/>
        </w:rPr>
        <w:t xml:space="preserve">그 </w:t>
      </w:r>
      <w:r w:rsidRPr="007F5E62">
        <w:rPr>
          <w:rFonts w:ascii="HY신명조" w:eastAsia="HY신명조" w:hAnsi="나눔고딕" w:cs="나눔고딕" w:hint="eastAsia"/>
          <w:sz w:val="20"/>
          <w:szCs w:val="20"/>
        </w:rPr>
        <w:t xml:space="preserve">기업의 특허수를 통해 계량화한다. 기업의 특허 정보는 특허청에서 운영하는 특허정보검색서비스 키프리스에서 수집했다. KOSPI200에 포함된 기업(금융, 지주사 제외) 가운데 애널리스트 커버리지 리포트가 있는 기업들을 대상으로 등록된 특허 중에서 2003년부터 2013년 사이에 출원된 데이터 123,514건을 분석하여 표본을 선정했다. </w:t>
      </w:r>
    </w:p>
    <w:p w14:paraId="1C998FE6" w14:textId="69B88C1D"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color w:val="222222"/>
          <w:sz w:val="20"/>
          <w:szCs w:val="20"/>
        </w:rPr>
        <w:t>He, Tian(2013), Griliches(2007)</w:t>
      </w:r>
      <w:r w:rsidR="00EF138A" w:rsidRPr="007F5E62">
        <w:rPr>
          <w:rFonts w:ascii="HY신명조" w:eastAsia="HY신명조" w:hAnsi="나눔고딕" w:cs="나눔고딕" w:hint="eastAsia"/>
          <w:color w:val="222222"/>
          <w:sz w:val="20"/>
          <w:szCs w:val="20"/>
        </w:rPr>
        <w:t>는 기술혁신을</w:t>
      </w:r>
      <w:r w:rsidRPr="007F5E62">
        <w:rPr>
          <w:rFonts w:ascii="HY신명조" w:eastAsia="HY신명조" w:hAnsi="나눔고딕" w:cs="나눔고딕" w:hint="eastAsia"/>
          <w:sz w:val="20"/>
          <w:szCs w:val="20"/>
        </w:rPr>
        <w:t xml:space="preserve"> 등록(granted)된 특허 가운데 출원(application) 시기를 기준으로 해당 연도 기업별 특허총개수로 계량화했다. 이전 연구(Grilliches, Pakes, and Hall, 1986)에 따르면 출원일자가 등록일자보다 기업의 실질적인 혁신(R&amp;D 투자)와 연관성이 높은 것으로 나타났다. 출원(application)은 특허/상표 신청서를 제출하는 것을 의미하며 이후 특허청에서 </w:t>
      </w:r>
      <w:r w:rsidRPr="007F5E62">
        <w:rPr>
          <w:rFonts w:ascii="HY신명조" w:eastAsia="HY신명조" w:hAnsi="나눔고딕" w:cs="나눔고딕" w:hint="eastAsia"/>
          <w:sz w:val="20"/>
          <w:szCs w:val="20"/>
        </w:rPr>
        <w:lastRenderedPageBreak/>
        <w:t>심사를 거쳐 거절이유가 없으면 특허등록(granted patent)</w:t>
      </w:r>
      <w:r w:rsidR="00821A6D" w:rsidRPr="007F5E62">
        <w:rPr>
          <w:rFonts w:ascii="HY신명조" w:eastAsia="HY신명조" w:hAnsi="나눔고딕" w:cs="나눔고딕" w:hint="eastAsia"/>
          <w:sz w:val="20"/>
          <w:szCs w:val="20"/>
        </w:rPr>
        <w:t>이</w:t>
      </w:r>
      <w:r w:rsidRPr="007F5E62">
        <w:rPr>
          <w:rFonts w:ascii="HY신명조" w:eastAsia="HY신명조" w:hAnsi="나눔고딕" w:cs="나눔고딕" w:hint="eastAsia"/>
          <w:sz w:val="20"/>
          <w:szCs w:val="20"/>
        </w:rPr>
        <w:t xml:space="preserve"> 결정되고 등록비를 납부하면 등록원부가 생긴다. 수집한 특허 데이터는 출원 이후 등록까지 평균 3.64년의 기간이 필요했으며 최대 11년의 대기 시간이 발생했다. </w:t>
      </w:r>
    </w:p>
    <w:p w14:paraId="01CD9287" w14:textId="67E42586"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특허 데이터는 출원과 등록 사이의 기간 단절</w:t>
      </w:r>
      <w:r w:rsidRPr="007F5E62">
        <w:rPr>
          <w:rFonts w:ascii="HY신명조" w:eastAsia="HY신명조" w:hAnsi="나눔고딕" w:cs="나눔고딕" w:hint="eastAsia"/>
          <w:sz w:val="20"/>
          <w:szCs w:val="20"/>
          <w:vertAlign w:val="superscript"/>
        </w:rPr>
        <w:footnoteReference w:id="3"/>
      </w:r>
      <w:r w:rsidRPr="007F5E62">
        <w:rPr>
          <w:rFonts w:ascii="HY신명조" w:eastAsia="HY신명조" w:hAnsi="나눔고딕" w:cs="나눔고딕" w:hint="eastAsia"/>
          <w:sz w:val="20"/>
          <w:szCs w:val="20"/>
        </w:rPr>
        <w:t xml:space="preserve"> 이슈가 발생한다. 등록된 특허는 특허청에 등록원부가 생긴 이후에 확인이 가능하다. 결국 최근 시점에 가까울수록 등록된 특허 데이터에는 과거에 출원했지만 아직 심사 중인 특허 데이터는 누락될 가능성이 높다. 따라서 분석을 위한 표본 데이터의 출원 시기는 연구 시점에서 충분히 앞선 과거 데이터를 사용했다. 특허 데이터와 애널리스트의 커버리지 데이터를 결합하여 패널데이터를 형성했다. </w:t>
      </w:r>
      <w:r w:rsidR="00B26A66" w:rsidRPr="007F5E62">
        <w:rPr>
          <w:rFonts w:ascii="HY신명조" w:eastAsia="HY신명조" w:hAnsi="나눔고딕" w:cs="나눔고딕" w:hint="eastAsia"/>
          <w:sz w:val="20"/>
          <w:szCs w:val="20"/>
        </w:rPr>
        <w:t>특허건수와 커버리지</w:t>
      </w:r>
      <w:r w:rsidRPr="007F5E62">
        <w:rPr>
          <w:rFonts w:ascii="HY신명조" w:eastAsia="HY신명조" w:hAnsi="나눔고딕" w:cs="나눔고딕" w:hint="eastAsia"/>
          <w:sz w:val="20"/>
          <w:szCs w:val="20"/>
        </w:rPr>
        <w:t xml:space="preserve"> </w:t>
      </w:r>
      <w:r w:rsidR="00B26A66" w:rsidRPr="007F5E62">
        <w:rPr>
          <w:rFonts w:ascii="HY신명조" w:eastAsia="HY신명조" w:hAnsi="나눔고딕" w:cs="나눔고딕" w:hint="eastAsia"/>
          <w:sz w:val="20"/>
          <w:szCs w:val="20"/>
        </w:rPr>
        <w:t xml:space="preserve">리포트수 </w:t>
      </w:r>
      <w:r w:rsidRPr="007F5E62">
        <w:rPr>
          <w:rFonts w:ascii="HY신명조" w:eastAsia="HY신명조" w:hAnsi="나눔고딕" w:cs="나눔고딕" w:hint="eastAsia"/>
          <w:sz w:val="20"/>
          <w:szCs w:val="20"/>
        </w:rPr>
        <w:t>데이터의 극단값을 제거하기 위해 각 변수의 상위 1%와 하위 99%를 제거하여 분석을 진행했다</w:t>
      </w:r>
    </w:p>
    <w:p w14:paraId="467AF8D1" w14:textId="77777777" w:rsidR="00286A95" w:rsidRPr="00117637" w:rsidRDefault="00286A95" w:rsidP="00117637">
      <w:pPr>
        <w:widowControl w:val="0"/>
        <w:pBdr>
          <w:top w:val="nil"/>
          <w:left w:val="nil"/>
          <w:bottom w:val="nil"/>
          <w:right w:val="nil"/>
          <w:between w:val="nil"/>
        </w:pBdr>
        <w:spacing w:line="420" w:lineRule="auto"/>
        <w:ind w:left="283"/>
        <w:jc w:val="both"/>
        <w:rPr>
          <w:rFonts w:ascii="HY신명조" w:eastAsia="HY신명조" w:hAnsi="나눔고딕" w:cs="나눔고딕"/>
          <w:sz w:val="24"/>
          <w:szCs w:val="24"/>
        </w:rPr>
      </w:pPr>
    </w:p>
    <w:p w14:paraId="76A85778" w14:textId="77777777" w:rsidR="00286A95" w:rsidRPr="007F5E62" w:rsidRDefault="00AB7484"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7F5E62">
        <w:rPr>
          <w:rFonts w:ascii="HY신명조" w:eastAsia="HY신명조" w:hAnsi="나눔고딕" w:cs="나눔고딕" w:hint="eastAsia"/>
          <w:sz w:val="24"/>
          <w:szCs w:val="24"/>
        </w:rPr>
        <w:t>애널리스트의 영향력(커버리지) 및 기타 통제 변수들</w:t>
      </w:r>
    </w:p>
    <w:p w14:paraId="33309CDE" w14:textId="72C2665D"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애널리스트 영향력을 대리할 수 있는 데이터를 에프앤가이드(Fnguide)를 통해 수집했다. 커버리지는 애널리스트가 상장 기업의 분석을 시작한다는 의미로 널리 사용된다. 이 보고서에서는 애널리스트의 영향력을 애널리스트가 </w:t>
      </w:r>
      <w:r w:rsidR="00821A6D" w:rsidRPr="007F5E62">
        <w:rPr>
          <w:rFonts w:ascii="HY신명조" w:eastAsia="HY신명조" w:hAnsi="나눔고딕" w:cs="나눔고딕" w:hint="eastAsia"/>
          <w:sz w:val="20"/>
          <w:szCs w:val="20"/>
        </w:rPr>
        <w:t>커버하는</w:t>
      </w:r>
      <w:r w:rsidRPr="007F5E62">
        <w:rPr>
          <w:rFonts w:ascii="HY신명조" w:eastAsia="HY신명조" w:hAnsi="나눔고딕" w:cs="나눔고딕" w:hint="eastAsia"/>
          <w:sz w:val="20"/>
          <w:szCs w:val="20"/>
        </w:rPr>
        <w:t xml:space="preserve"> 기업</w:t>
      </w:r>
      <w:r w:rsidR="00821A6D" w:rsidRPr="007F5E62">
        <w:rPr>
          <w:rFonts w:ascii="HY신명조" w:eastAsia="HY신명조" w:hAnsi="나눔고딕" w:cs="나눔고딕" w:hint="eastAsia"/>
          <w:sz w:val="20"/>
          <w:szCs w:val="20"/>
        </w:rPr>
        <w:t xml:space="preserve"> 관련</w:t>
      </w:r>
      <w:r w:rsidRPr="007F5E62">
        <w:rPr>
          <w:rFonts w:ascii="HY신명조" w:eastAsia="HY신명조" w:hAnsi="나눔고딕" w:cs="나눔고딕" w:hint="eastAsia"/>
          <w:sz w:val="20"/>
          <w:szCs w:val="20"/>
        </w:rPr>
        <w:t xml:space="preserve"> 보고서를 </w:t>
      </w:r>
      <w:r w:rsidR="00821A6D" w:rsidRPr="007F5E62">
        <w:rPr>
          <w:rFonts w:ascii="HY신명조" w:eastAsia="HY신명조" w:hAnsi="나눔고딕" w:cs="나눔고딕" w:hint="eastAsia"/>
          <w:sz w:val="20"/>
          <w:szCs w:val="20"/>
        </w:rPr>
        <w:t>발간한</w:t>
      </w:r>
      <w:r w:rsidRPr="007F5E62">
        <w:rPr>
          <w:rFonts w:ascii="HY신명조" w:eastAsia="HY신명조" w:hAnsi="나눔고딕" w:cs="나눔고딕" w:hint="eastAsia"/>
          <w:sz w:val="20"/>
          <w:szCs w:val="20"/>
        </w:rPr>
        <w:t xml:space="preserve"> 빈도수로 계량화한다. 김경순(2012)에 따르면 애널리스트 보고서 발표일에 비정상초과수익률, 비정상거래량 반응이 유의미하게 발생한다. 또한 애널리스트는 기업 분석 리포트를 펀드매니저</w:t>
      </w:r>
      <w:r w:rsidR="00821A6D" w:rsidRPr="007F5E62">
        <w:rPr>
          <w:rFonts w:ascii="HY신명조" w:eastAsia="HY신명조" w:hAnsi="나눔고딕" w:cs="나눔고딕" w:hint="eastAsia"/>
          <w:sz w:val="20"/>
          <w:szCs w:val="20"/>
        </w:rPr>
        <w:t>, 외국인</w:t>
      </w:r>
      <w:r w:rsidRPr="007F5E62">
        <w:rPr>
          <w:rFonts w:ascii="HY신명조" w:eastAsia="HY신명조" w:hAnsi="나눔고딕" w:cs="나눔고딕" w:hint="eastAsia"/>
          <w:sz w:val="20"/>
          <w:szCs w:val="20"/>
        </w:rPr>
        <w:t xml:space="preserve"> 등의 투자자들에게 전달하기 앞서 에프앤가이드, 블룸버그 등의 국내외 기업정보를 수집하는 기업, 미디어 등에게 공표</w:t>
      </w:r>
      <w:r w:rsidRPr="007F5E62">
        <w:rPr>
          <w:rFonts w:ascii="HY신명조" w:eastAsia="HY신명조" w:hAnsi="나눔고딕" w:cs="나눔고딕" w:hint="eastAsia"/>
          <w:sz w:val="20"/>
          <w:szCs w:val="20"/>
          <w:vertAlign w:val="superscript"/>
        </w:rPr>
        <w:footnoteReference w:id="4"/>
      </w:r>
      <w:r w:rsidRPr="007F5E62">
        <w:rPr>
          <w:rFonts w:ascii="HY신명조" w:eastAsia="HY신명조" w:hAnsi="나눔고딕" w:cs="나눔고딕" w:hint="eastAsia"/>
          <w:sz w:val="20"/>
          <w:szCs w:val="20"/>
        </w:rPr>
        <w:t>해야 하는 의무가 있다. 결국 애널리스트 보고서가 기업 및 투자자에 영향을 미치는 활동의 시작점이다. 애널리스트</w:t>
      </w:r>
      <w:r w:rsidR="00821A6D" w:rsidRPr="007F5E62">
        <w:rPr>
          <w:rFonts w:ascii="HY신명조" w:eastAsia="HY신명조" w:hAnsi="나눔고딕" w:cs="나눔고딕" w:hint="eastAsia"/>
          <w:sz w:val="20"/>
          <w:szCs w:val="20"/>
        </w:rPr>
        <w:t xml:space="preserve">는 </w:t>
      </w:r>
      <w:r w:rsidRPr="007F5E62">
        <w:rPr>
          <w:rFonts w:ascii="HY신명조" w:eastAsia="HY신명조" w:hAnsi="나눔고딕" w:cs="나눔고딕" w:hint="eastAsia"/>
          <w:sz w:val="20"/>
          <w:szCs w:val="20"/>
        </w:rPr>
        <w:t xml:space="preserve">인당 </w:t>
      </w:r>
      <w:r w:rsidR="00821A6D" w:rsidRPr="007F5E62">
        <w:rPr>
          <w:rFonts w:ascii="HY신명조" w:eastAsia="HY신명조" w:hAnsi="나눔고딕" w:cs="나눔고딕" w:hint="eastAsia"/>
          <w:sz w:val="20"/>
          <w:szCs w:val="20"/>
        </w:rPr>
        <w:t xml:space="preserve">10~20개 수준의 </w:t>
      </w:r>
      <w:r w:rsidRPr="007F5E62">
        <w:rPr>
          <w:rFonts w:ascii="HY신명조" w:eastAsia="HY신명조" w:hAnsi="나눔고딕" w:cs="나눔고딕" w:hint="eastAsia"/>
          <w:sz w:val="20"/>
          <w:szCs w:val="20"/>
        </w:rPr>
        <w:lastRenderedPageBreak/>
        <w:t>커버리지</w:t>
      </w:r>
      <w:r w:rsidR="00821A6D" w:rsidRPr="007F5E62">
        <w:rPr>
          <w:rFonts w:ascii="HY신명조" w:eastAsia="HY신명조" w:hAnsi="나눔고딕" w:cs="나눔고딕" w:hint="eastAsia"/>
          <w:sz w:val="20"/>
          <w:szCs w:val="20"/>
        </w:rPr>
        <w:t xml:space="preserve"> 기업을 가지고 분석을 진행하며 그 영향의 강도는 보고서 빈도가 중요하다. </w:t>
      </w:r>
      <w:r w:rsidR="004717B6" w:rsidRPr="007F5E62">
        <w:rPr>
          <w:rFonts w:ascii="HY신명조" w:eastAsia="HY신명조" w:hAnsi="나눔고딕" w:cs="나눔고딕" w:hint="eastAsia"/>
          <w:sz w:val="20"/>
          <w:szCs w:val="20"/>
        </w:rPr>
        <w:t xml:space="preserve">에프앤가이드에 </w:t>
      </w:r>
      <w:r w:rsidRPr="007F5E62">
        <w:rPr>
          <w:rFonts w:ascii="HY신명조" w:eastAsia="HY신명조" w:hAnsi="나눔고딕" w:cs="나눔고딕" w:hint="eastAsia"/>
          <w:sz w:val="20"/>
          <w:szCs w:val="20"/>
        </w:rPr>
        <w:t>등록된 보고서를 기준으로 기업과 등록일을 정리하여 애널리스트 커버리지수(coverage)로 계산했다.</w:t>
      </w:r>
      <w:r w:rsidR="004717B6" w:rsidRPr="007F5E62">
        <w:rPr>
          <w:rFonts w:ascii="HY신명조" w:eastAsia="HY신명조" w:hAnsi="나눔고딕" w:cs="나눔고딕" w:hint="eastAsia"/>
          <w:sz w:val="20"/>
          <w:szCs w:val="20"/>
        </w:rPr>
        <w:t xml:space="preserve"> 이 데이터베이스는 </w:t>
      </w:r>
      <w:r w:rsidRPr="007F5E62">
        <w:rPr>
          <w:rFonts w:ascii="HY신명조" w:eastAsia="HY신명조" w:hAnsi="나눔고딕" w:cs="나눔고딕" w:hint="eastAsia"/>
          <w:sz w:val="20"/>
          <w:szCs w:val="20"/>
        </w:rPr>
        <w:t xml:space="preserve">주식 관련 국내 최대 데이터를 확보하고 있기 때문에 국내 애널리스트의 커버리지 영향력을 측정하는데 가장 효율적이다. 커버리지 기업을 선정하기 위해 국내 주식시장의 대표 지수인 KOSPI200에 포함된 기업 200개를 대상으로 2003년부터 2013년까지 198,857건의 보고서를 분석하여 표본을 선정했다. 200개 기업 가운데 지주 및 금융 관련 기업들을 제외하고 커버리지가 1개 이상 존재하는 76개 기업을 대상으로 586개의 </w:t>
      </w:r>
      <w:r w:rsidR="004717B6" w:rsidRPr="007F5E62">
        <w:rPr>
          <w:rFonts w:ascii="HY신명조" w:eastAsia="HY신명조" w:hAnsi="나눔고딕" w:cs="나눔고딕" w:hint="eastAsia"/>
          <w:sz w:val="20"/>
          <w:szCs w:val="20"/>
        </w:rPr>
        <w:t xml:space="preserve">최종 </w:t>
      </w:r>
      <w:r w:rsidRPr="007F5E62">
        <w:rPr>
          <w:rFonts w:ascii="HY신명조" w:eastAsia="HY신명조" w:hAnsi="나눔고딕" w:cs="나눔고딕" w:hint="eastAsia"/>
          <w:sz w:val="20"/>
          <w:szCs w:val="20"/>
        </w:rPr>
        <w:t xml:space="preserve">관측치를 추출했다. 회귀분석을 진행하기 위한 최종 변수(lcoverage)는 </w:t>
      </w:r>
      <w:r w:rsidRPr="007F5E62">
        <w:rPr>
          <w:rFonts w:ascii="HY신명조" w:eastAsia="HY신명조" w:hAnsi="나눔고딕" w:cs="나눔고딕" w:hint="eastAsia"/>
          <w:color w:val="222222"/>
          <w:sz w:val="20"/>
          <w:szCs w:val="20"/>
        </w:rPr>
        <w:t>He, Tian(2013)</w:t>
      </w:r>
      <w:r w:rsidRPr="007F5E62">
        <w:rPr>
          <w:rFonts w:ascii="HY신명조" w:eastAsia="HY신명조" w:hAnsi="나눔고딕" w:cs="나눔고딕" w:hint="eastAsia"/>
          <w:sz w:val="20"/>
          <w:szCs w:val="20"/>
        </w:rPr>
        <w:t xml:space="preserve">의 연구처럼 애널리스트 커버리지가 없는 시기가 있기 때문에 기본 커버리지수에 1을 더한 후 자연로그를 취해서 산출했다. </w:t>
      </w:r>
    </w:p>
    <w:p w14:paraId="48CB1030" w14:textId="2E29FD4B" w:rsidR="00286A95"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기업 혁신에 </w:t>
      </w:r>
      <w:r w:rsidR="006C5DB3" w:rsidRPr="007F5E62">
        <w:rPr>
          <w:rFonts w:ascii="HY신명조" w:eastAsia="HY신명조" w:hAnsi="나눔고딕" w:cs="나눔고딕" w:hint="eastAsia"/>
          <w:sz w:val="20"/>
          <w:szCs w:val="20"/>
        </w:rPr>
        <w:t>관련</w:t>
      </w:r>
      <w:r w:rsidRPr="007F5E62">
        <w:rPr>
          <w:rFonts w:ascii="HY신명조" w:eastAsia="HY신명조" w:hAnsi="나눔고딕" w:cs="나눔고딕" w:hint="eastAsia"/>
          <w:sz w:val="20"/>
          <w:szCs w:val="20"/>
        </w:rPr>
        <w:t xml:space="preserve"> 선행연구를 기반으로 혁신 활동에 영향을 주는 통제 변수를 선정했다. 회계연도 기준으로 각 기업의 재무, 기업정보, 투자, 경기 지표를 </w:t>
      </w:r>
      <w:r w:rsidR="002072F2" w:rsidRPr="007F5E62">
        <w:rPr>
          <w:rFonts w:ascii="HY신명조" w:eastAsia="HY신명조" w:hAnsi="나눔고딕" w:cs="나눔고딕" w:hint="eastAsia"/>
          <w:sz w:val="20"/>
          <w:szCs w:val="20"/>
        </w:rPr>
        <w:t>반영</w:t>
      </w:r>
      <w:r w:rsidRPr="007F5E62">
        <w:rPr>
          <w:rFonts w:ascii="HY신명조" w:eastAsia="HY신명조" w:hAnsi="나눔고딕" w:cs="나눔고딕" w:hint="eastAsia"/>
          <w:sz w:val="20"/>
          <w:szCs w:val="20"/>
        </w:rPr>
        <w:t>했다. 회사의 규모를 반영하기 위해서 임직원수[임직원수의 자연로그값, 박준우(2009), 유민, 박중구(2006)], 총자산(자산의 자연로그값), 시가총액(시가총액의 자연로그값)을 포함시켰다. 재무 현황은 부채비율[부채/자본, 오준병, 이선영</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2020</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심재우, 서용장</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2018</w:t>
      </w:r>
      <w:r w:rsidR="003B212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박원, 허익구</w:t>
      </w:r>
      <w:r w:rsidR="003B212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2011</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서지용</w:t>
      </w:r>
      <w:r w:rsidR="003B2125">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2012</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Moyen</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2007</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Peyer,</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Shivadasani</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2001</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Ho,</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Tjahjapranata,</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Yap</w:t>
      </w:r>
      <w:r w:rsidR="003B2125">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2006</w:t>
      </w:r>
      <w:r w:rsidR="003B212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Franzen,</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Radhakrishnan</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2006</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Hennessy</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2004)], 현금보유</w:t>
      </w:r>
      <w:r w:rsidR="00A90DD1">
        <w:rPr>
          <w:rFonts w:ascii="HY신명조" w:eastAsia="HY신명조" w:hAnsi="나눔고딕" w:cs="나눔고딕"/>
          <w:sz w:val="20"/>
          <w:szCs w:val="20"/>
        </w:rPr>
        <w:t>(</w:t>
      </w:r>
      <w:r w:rsidRPr="007F5E62">
        <w:rPr>
          <w:rFonts w:ascii="HY신명조" w:eastAsia="HY신명조" w:hAnsi="나눔고딕" w:cs="나눔고딕" w:hint="eastAsia"/>
          <w:sz w:val="20"/>
          <w:szCs w:val="20"/>
        </w:rPr>
        <w:t>서지용</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2012</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Brown, Petersen</w:t>
      </w:r>
      <w:r w:rsidR="003B2125">
        <w:rPr>
          <w:rFonts w:ascii="HY신명조" w:eastAsia="HY신명조" w:hAnsi="나눔고딕" w:cs="나눔고딕" w:hint="eastAsia"/>
          <w:sz w:val="20"/>
          <w:szCs w:val="20"/>
        </w:rPr>
        <w:t>,</w:t>
      </w:r>
      <w:r w:rsidR="00AF39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2011</w:t>
      </w:r>
      <w:r w:rsidR="003B212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Martinsson,</w:t>
      </w:r>
      <w:r w:rsidR="00635865">
        <w:rPr>
          <w:rFonts w:ascii="HY신명조" w:eastAsia="HY신명조" w:hAnsi="나눔고딕" w:cs="나눔고딕"/>
          <w:sz w:val="20"/>
          <w:szCs w:val="20"/>
        </w:rPr>
        <w:t xml:space="preserve"> </w:t>
      </w:r>
      <w:r w:rsidR="00FA687D" w:rsidRPr="002355F2">
        <w:rPr>
          <w:rFonts w:ascii="HY신명조" w:eastAsia="HY신명조" w:hAnsi="Calibri" w:cs="Calibri" w:hint="eastAsia"/>
          <w:sz w:val="20"/>
          <w:szCs w:val="20"/>
          <w:lang w:val="en-US"/>
        </w:rPr>
        <w:t>L</w:t>
      </w:r>
      <w:r w:rsidR="00FA687D" w:rsidRPr="002355F2">
        <w:rPr>
          <w:rFonts w:ascii="HY신명조" w:eastAsia="HY신명조" w:hAnsi="Calibri" w:cs="Calibri" w:hint="eastAsia"/>
          <w:sz w:val="20"/>
          <w:szCs w:val="20"/>
          <w:lang w:val="en-US"/>
        </w:rPr>
        <w:t>öö</w:t>
      </w:r>
      <w:r w:rsidR="00FA687D" w:rsidRPr="002355F2">
        <w:rPr>
          <w:rFonts w:ascii="HY신명조" w:eastAsia="HY신명조" w:hAnsi="Calibri" w:cs="Calibri" w:hint="eastAsia"/>
          <w:sz w:val="20"/>
          <w:szCs w:val="20"/>
          <w:lang w:val="en-US"/>
        </w:rPr>
        <w:t>f</w:t>
      </w:r>
      <w:r w:rsidR="003B2125">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2009</w:t>
      </w:r>
      <w:r w:rsidR="003B2125">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Himmelberg, Petersen</w:t>
      </w:r>
      <w:r w:rsidR="003B2125">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1994</w:t>
      </w:r>
      <w:r w:rsidR="00A90DD1">
        <w:rPr>
          <w:rFonts w:ascii="HY신명조" w:eastAsia="HY신명조" w:hAnsi="나눔고딕" w:cs="나눔고딕"/>
          <w:sz w:val="20"/>
          <w:szCs w:val="20"/>
        </w:rPr>
        <w:t>)</w:t>
      </w:r>
      <w:r w:rsidRPr="007F5E62">
        <w:rPr>
          <w:rFonts w:ascii="HY신명조" w:eastAsia="HY신명조" w:hAnsi="나눔고딕" w:cs="나눔고딕" w:hint="eastAsia"/>
          <w:sz w:val="20"/>
          <w:szCs w:val="20"/>
        </w:rPr>
        <w:t>지표는 순부채비율[(이자성부채</w:t>
      </w:r>
      <w:r w:rsidR="0063586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현금</w:t>
      </w:r>
      <w:r w:rsidR="00635865">
        <w:rPr>
          <w:rFonts w:ascii="HY신명조" w:eastAsia="HY신명조" w:hAnsi="나눔고딕" w:cs="나눔고딕" w:hint="eastAsia"/>
          <w:sz w:val="20"/>
          <w:szCs w:val="20"/>
        </w:rPr>
        <w:t xml:space="preserve"> </w:t>
      </w:r>
      <w:r w:rsidR="00635865">
        <w:rPr>
          <w:rFonts w:ascii="HY신명조" w:eastAsia="HY신명조" w:hAnsi="나눔고딕" w:cs="나눔고딕"/>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현금성자산</w:t>
      </w:r>
      <w:r w:rsidR="00635865">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단기금융자산)</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총자산)], 기업의 신용등급과 연관성을 가지는 기업연령</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Hadlock, Pierce</w:t>
      </w:r>
      <w:r w:rsidR="003B2125">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2010)을 반영했다. 투자 관련 지표로 외국인지분율, 최대주주지분율, 거래량 회전율</w:t>
      </w:r>
      <w:r w:rsidR="008628A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거래량 회전율(누적거래량 / 총상장주식수 X 100)</w:t>
      </w:r>
      <w:r w:rsidR="008628A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및 Tobin’s Q</w:t>
      </w:r>
      <w:r w:rsidR="008628A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정진수, 박재영</w:t>
      </w:r>
      <w:r w:rsidR="008628A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2004)를 포함시켰다. 해외 선행연구</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Hoskisson, Hit, Johnson,</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lastRenderedPageBreak/>
        <w:t>Grossman</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2002</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Fang,</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Tian,</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Tice</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2014</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Aghion,</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Van Reenen,</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Zingales</w:t>
      </w:r>
      <w:r w:rsidR="00DF5621">
        <w:rPr>
          <w:rFonts w:ascii="HY신명조" w:eastAsia="HY신명조" w:hAnsi="나눔고딕" w:cs="나눔고딕" w:hint="eastAsia"/>
          <w:sz w:val="20"/>
          <w:szCs w:val="20"/>
        </w:rPr>
        <w:t>,</w:t>
      </w:r>
      <w:r w:rsidR="008628A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2013)에서는 기관투자자의 비중과 기술혁신의 유의미한 </w:t>
      </w:r>
      <w:r w:rsidR="00C73EA7" w:rsidRPr="007F5E62">
        <w:rPr>
          <w:rFonts w:ascii="HY신명조" w:eastAsia="HY신명조" w:hAnsi="나눔고딕" w:cs="나눔고딕" w:hint="eastAsia"/>
          <w:sz w:val="20"/>
          <w:szCs w:val="20"/>
        </w:rPr>
        <w:t>관계들</w:t>
      </w:r>
      <w:r w:rsidRPr="007F5E62">
        <w:rPr>
          <w:rFonts w:ascii="HY신명조" w:eastAsia="HY신명조" w:hAnsi="나눔고딕" w:cs="나눔고딕" w:hint="eastAsia"/>
          <w:sz w:val="20"/>
          <w:szCs w:val="20"/>
        </w:rPr>
        <w:t xml:space="preserve"> 연구했으나 국내 주식시장에서는 기관보다는 외국인의 영향력</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박경서,</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이은정</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 xml:space="preserve">2006)이 크기 때문에 외국인 지분율을 사용했다. 또한 국내 상장사는 </w:t>
      </w:r>
      <w:r w:rsidR="009A2D10" w:rsidRPr="007F5E62">
        <w:rPr>
          <w:rFonts w:ascii="HY신명조" w:eastAsia="HY신명조" w:hAnsi="나눔고딕" w:cs="나눔고딕" w:hint="eastAsia"/>
          <w:sz w:val="20"/>
          <w:szCs w:val="20"/>
        </w:rPr>
        <w:t>상당수</w:t>
      </w:r>
      <w:r w:rsidRPr="007F5E62">
        <w:rPr>
          <w:rFonts w:ascii="HY신명조" w:eastAsia="HY신명조" w:hAnsi="나눔고딕" w:cs="나눔고딕" w:hint="eastAsia"/>
          <w:sz w:val="20"/>
          <w:szCs w:val="20"/>
        </w:rPr>
        <w:t xml:space="preserve"> 최대주주 및 가족들이 경영자로서 활동하기 때문에 경영자 지분율</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서지용</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2012</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김범조, 이동기, 조영곤</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2017</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최향미, 조영곤</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2011</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 xml:space="preserve"> 전상경, 정무권</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2006</w:t>
      </w:r>
      <w:r w:rsidR="00DF5621">
        <w:rPr>
          <w:rFonts w:ascii="HY신명조" w:eastAsia="HY신명조" w:hAnsi="나눔고딕" w:cs="나눔고딕" w:hint="eastAsia"/>
          <w:sz w:val="20"/>
          <w:szCs w:val="20"/>
        </w:rPr>
        <w:t xml:space="preserve">; </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Wright,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Kroll,</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Pettus</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2007</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Huang</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2015</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의 영향력을 최대주주 지분율로 대체해서 측정했다. 상장 주식의 유동성</w:t>
      </w:r>
      <w:r w:rsidR="00DF5621">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Fang,</w:t>
      </w:r>
      <w:r w:rsidR="00A6254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Tian,</w:t>
      </w:r>
      <w:r w:rsidR="00A6254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Tice</w:t>
      </w:r>
      <w:r w:rsidR="00DF5621">
        <w:rPr>
          <w:rFonts w:ascii="HY신명조" w:eastAsia="HY신명조" w:hAnsi="나눔고딕" w:cs="나눔고딕" w:hint="eastAsia"/>
          <w:sz w:val="20"/>
          <w:szCs w:val="20"/>
        </w:rPr>
        <w:t>,</w:t>
      </w:r>
      <w:r w:rsidR="00A6254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2014)은 거래량 회전율(누적거래량 / 총상장주식수 X 100)로 측정했다. 금융위기</w:t>
      </w:r>
      <w:r w:rsidR="00EF138A" w:rsidRPr="007F5E62">
        <w:rPr>
          <w:rFonts w:ascii="HY신명조" w:eastAsia="HY신명조" w:hAnsi="나눔고딕" w:cs="나눔고딕" w:hint="eastAsia"/>
          <w:sz w:val="20"/>
          <w:szCs w:val="20"/>
        </w:rPr>
        <w:t xml:space="preserve"> 등의 경기</w:t>
      </w:r>
      <w:r w:rsidR="00DF5621">
        <w:rPr>
          <w:rFonts w:ascii="HY신명조" w:eastAsia="HY신명조" w:hAnsi="나눔고딕" w:cs="나눔고딕" w:hint="eastAsia"/>
          <w:sz w:val="20"/>
          <w:szCs w:val="20"/>
        </w:rPr>
        <w:t>(</w:t>
      </w:r>
      <w:r w:rsidR="00EF138A" w:rsidRPr="007F5E62">
        <w:rPr>
          <w:rFonts w:ascii="HY신명조" w:eastAsia="HY신명조" w:hAnsi="나눔고딕" w:cs="나눔고딕" w:hint="eastAsia"/>
          <w:sz w:val="20"/>
          <w:szCs w:val="20"/>
        </w:rPr>
        <w:t>Martinsson,</w:t>
      </w:r>
      <w:r w:rsidR="00635865">
        <w:rPr>
          <w:rFonts w:ascii="HY신명조" w:eastAsia="HY신명조" w:hAnsi="나눔고딕" w:cs="나눔고딕"/>
          <w:sz w:val="20"/>
          <w:szCs w:val="20"/>
        </w:rPr>
        <w:t xml:space="preserve"> </w:t>
      </w:r>
      <w:r w:rsidR="00FA687D" w:rsidRPr="002355F2">
        <w:rPr>
          <w:rFonts w:ascii="HY신명조" w:eastAsia="HY신명조" w:hAnsi="Calibri" w:cs="Calibri" w:hint="eastAsia"/>
          <w:sz w:val="20"/>
          <w:szCs w:val="20"/>
          <w:lang w:val="en-US"/>
        </w:rPr>
        <w:t>L</w:t>
      </w:r>
      <w:r w:rsidR="00FA687D" w:rsidRPr="002355F2">
        <w:rPr>
          <w:rFonts w:ascii="HY신명조" w:eastAsia="HY신명조" w:hAnsi="Calibri" w:cs="Calibri" w:hint="eastAsia"/>
          <w:sz w:val="20"/>
          <w:szCs w:val="20"/>
          <w:lang w:val="en-US"/>
        </w:rPr>
        <w:t>öö</w:t>
      </w:r>
      <w:r w:rsidR="00FA687D" w:rsidRPr="002355F2">
        <w:rPr>
          <w:rFonts w:ascii="HY신명조" w:eastAsia="HY신명조" w:hAnsi="Calibri" w:cs="Calibri" w:hint="eastAsia"/>
          <w:sz w:val="20"/>
          <w:szCs w:val="20"/>
          <w:lang w:val="en-US"/>
        </w:rPr>
        <w:t>f</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00EF138A" w:rsidRPr="007F5E62">
        <w:rPr>
          <w:rFonts w:ascii="HY신명조" w:eastAsia="HY신명조" w:hAnsi="나눔고딕" w:cs="나눔고딕" w:hint="eastAsia"/>
          <w:sz w:val="20"/>
          <w:szCs w:val="20"/>
        </w:rPr>
        <w:t>2009</w:t>
      </w:r>
      <w:r w:rsidR="00DF5621">
        <w:rPr>
          <w:rFonts w:ascii="HY신명조" w:eastAsia="HY신명조" w:hAnsi="나눔고딕" w:cs="나눔고딕" w:hint="eastAsia"/>
          <w:sz w:val="20"/>
          <w:szCs w:val="20"/>
        </w:rPr>
        <w:t>;</w:t>
      </w:r>
      <w:r w:rsidR="00EF138A" w:rsidRPr="007F5E62">
        <w:rPr>
          <w:rFonts w:ascii="HY신명조" w:eastAsia="HY신명조" w:hAnsi="나눔고딕" w:cs="나눔고딕" w:hint="eastAsia"/>
          <w:sz w:val="20"/>
          <w:szCs w:val="20"/>
        </w:rPr>
        <w:t xml:space="preserve"> 남현정,</w:t>
      </w:r>
      <w:r w:rsidR="00635865">
        <w:rPr>
          <w:rFonts w:ascii="HY신명조" w:eastAsia="HY신명조" w:hAnsi="나눔고딕" w:cs="나눔고딕"/>
          <w:sz w:val="20"/>
          <w:szCs w:val="20"/>
        </w:rPr>
        <w:t xml:space="preserve"> </w:t>
      </w:r>
      <w:r w:rsidR="00EF138A" w:rsidRPr="007F5E62">
        <w:rPr>
          <w:rFonts w:ascii="HY신명조" w:eastAsia="HY신명조" w:hAnsi="나눔고딕" w:cs="나눔고딕" w:hint="eastAsia"/>
          <w:sz w:val="20"/>
          <w:szCs w:val="20"/>
        </w:rPr>
        <w:t>박춘광</w:t>
      </w:r>
      <w:r w:rsidR="00DF5621">
        <w:rPr>
          <w:rFonts w:ascii="HY신명조" w:eastAsia="HY신명조" w:hAnsi="나눔고딕" w:cs="나눔고딕" w:hint="eastAsia"/>
          <w:sz w:val="20"/>
          <w:szCs w:val="20"/>
        </w:rPr>
        <w:t>,</w:t>
      </w:r>
      <w:r w:rsidR="00635865">
        <w:rPr>
          <w:rFonts w:ascii="HY신명조" w:eastAsia="HY신명조" w:hAnsi="나눔고딕" w:cs="나눔고딕"/>
          <w:sz w:val="20"/>
          <w:szCs w:val="20"/>
        </w:rPr>
        <w:t xml:space="preserve"> </w:t>
      </w:r>
      <w:r w:rsidR="00EF138A" w:rsidRPr="007F5E62">
        <w:rPr>
          <w:rFonts w:ascii="HY신명조" w:eastAsia="HY신명조" w:hAnsi="나눔고딕" w:cs="나눔고딕" w:hint="eastAsia"/>
          <w:sz w:val="20"/>
          <w:szCs w:val="20"/>
        </w:rPr>
        <w:t xml:space="preserve">2015)요소가 </w:t>
      </w:r>
      <w:r w:rsidRPr="007F5E62">
        <w:rPr>
          <w:rFonts w:ascii="HY신명조" w:eastAsia="HY신명조" w:hAnsi="나눔고딕" w:cs="나눔고딕" w:hint="eastAsia"/>
          <w:sz w:val="20"/>
          <w:szCs w:val="20"/>
        </w:rPr>
        <w:t>기술혁신과 유의한 관계를 보였기 때문에 경기 지표를 반영하는 국내 10년국채금리를 포함했다. 각 변수의 정의 및 기초 통계량은 &lt;표1&gt; 변수의 정의에서 설명했다.</w:t>
      </w:r>
    </w:p>
    <w:p w14:paraId="39D18E46" w14:textId="77777777" w:rsidR="00123EDC" w:rsidRPr="007F5E62" w:rsidRDefault="00123EDC"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p>
    <w:p w14:paraId="74030274" w14:textId="77777777" w:rsidR="00123EDC" w:rsidRDefault="00123EDC">
      <w:pPr>
        <w:rPr>
          <w:rFonts w:ascii="HY신명조" w:eastAsia="HY신명조" w:hAnsi="나눔고딕" w:cs="나눔고딕"/>
          <w:sz w:val="17"/>
          <w:szCs w:val="17"/>
        </w:rPr>
      </w:pPr>
      <w:r>
        <w:rPr>
          <w:rFonts w:ascii="HY신명조" w:eastAsia="HY신명조" w:hAnsi="나눔고딕" w:cs="나눔고딕"/>
          <w:sz w:val="17"/>
          <w:szCs w:val="17"/>
        </w:rPr>
        <w:br w:type="page"/>
      </w:r>
    </w:p>
    <w:p w14:paraId="3138EE29" w14:textId="374BDA50" w:rsidR="00286A95" w:rsidRPr="00EC3A86" w:rsidRDefault="00123EDC" w:rsidP="00123EDC">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r w:rsidRPr="00EC3A86">
        <w:rPr>
          <w:rFonts w:ascii="HY신명조" w:eastAsia="HY신명조" w:hAnsi="나눔고딕" w:cs="나눔고딕" w:hint="eastAsia"/>
          <w:sz w:val="20"/>
          <w:szCs w:val="20"/>
        </w:rPr>
        <w:lastRenderedPageBreak/>
        <w:t>&lt;표 1&gt; 변수의 정의</w:t>
      </w:r>
    </w:p>
    <w:tbl>
      <w:tblPr>
        <w:tblW w:w="7300" w:type="dxa"/>
        <w:tblCellMar>
          <w:left w:w="99" w:type="dxa"/>
          <w:right w:w="99" w:type="dxa"/>
        </w:tblCellMar>
        <w:tblLook w:val="04A0" w:firstRow="1" w:lastRow="0" w:firstColumn="1" w:lastColumn="0" w:noHBand="0" w:noVBand="1"/>
      </w:tblPr>
      <w:tblGrid>
        <w:gridCol w:w="1843"/>
        <w:gridCol w:w="5457"/>
      </w:tblGrid>
      <w:tr w:rsidR="00123EDC" w:rsidRPr="00123EDC" w14:paraId="0288A04D" w14:textId="77777777" w:rsidTr="00C4553A">
        <w:trPr>
          <w:trHeight w:val="470"/>
        </w:trPr>
        <w:tc>
          <w:tcPr>
            <w:tcW w:w="1843" w:type="dxa"/>
            <w:tcBorders>
              <w:top w:val="single" w:sz="4" w:space="0" w:color="auto"/>
              <w:left w:val="nil"/>
              <w:bottom w:val="single" w:sz="4" w:space="0" w:color="auto"/>
              <w:right w:val="nil"/>
            </w:tcBorders>
            <w:shd w:val="clear" w:color="auto" w:fill="auto"/>
            <w:noWrap/>
            <w:vAlign w:val="center"/>
            <w:hideMark/>
          </w:tcPr>
          <w:p w14:paraId="7D165F71" w14:textId="328222B7" w:rsidR="00123EDC" w:rsidRPr="00123EDC" w:rsidRDefault="00A90DD1" w:rsidP="00123EDC">
            <w:pPr>
              <w:spacing w:line="240" w:lineRule="auto"/>
              <w:jc w:val="center"/>
              <w:rPr>
                <w:rFonts w:ascii="HY신명조" w:eastAsia="HY신명조" w:hAnsi="맑은 고딕" w:cs="굴림"/>
                <w:color w:val="000000"/>
                <w:sz w:val="17"/>
                <w:szCs w:val="17"/>
                <w:lang w:val="en-US"/>
              </w:rPr>
            </w:pPr>
            <w:r>
              <w:rPr>
                <w:rFonts w:ascii="HY신명조" w:eastAsia="HY신명조" w:hAnsi="나눔고딕" w:cs="나눔고딕"/>
                <w:sz w:val="20"/>
                <w:szCs w:val="20"/>
              </w:rPr>
              <w:br w:type="page"/>
            </w:r>
            <w:r w:rsidR="00123EDC" w:rsidRPr="00123EDC">
              <w:rPr>
                <w:rFonts w:ascii="HY신명조" w:eastAsia="HY신명조" w:hAnsi="맑은 고딕" w:cs="굴림" w:hint="eastAsia"/>
                <w:color w:val="000000"/>
                <w:sz w:val="17"/>
                <w:szCs w:val="17"/>
                <w:lang w:val="en-US"/>
              </w:rPr>
              <w:t>변수</w:t>
            </w:r>
          </w:p>
        </w:tc>
        <w:tc>
          <w:tcPr>
            <w:tcW w:w="5457" w:type="dxa"/>
            <w:tcBorders>
              <w:top w:val="single" w:sz="4" w:space="0" w:color="auto"/>
              <w:left w:val="nil"/>
              <w:bottom w:val="single" w:sz="4" w:space="0" w:color="auto"/>
              <w:right w:val="nil"/>
            </w:tcBorders>
            <w:shd w:val="clear" w:color="auto" w:fill="auto"/>
            <w:noWrap/>
            <w:vAlign w:val="center"/>
            <w:hideMark/>
          </w:tcPr>
          <w:p w14:paraId="5E5874E0" w14:textId="77777777" w:rsidR="00123EDC" w:rsidRPr="00123EDC" w:rsidRDefault="00123EDC" w:rsidP="00123EDC">
            <w:pPr>
              <w:spacing w:line="240" w:lineRule="auto"/>
              <w:jc w:val="center"/>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정의</w:t>
            </w:r>
          </w:p>
        </w:tc>
      </w:tr>
      <w:tr w:rsidR="00123EDC" w:rsidRPr="00123EDC" w14:paraId="4887E921" w14:textId="77777777" w:rsidTr="00C4553A">
        <w:trPr>
          <w:trHeight w:val="470"/>
        </w:trPr>
        <w:tc>
          <w:tcPr>
            <w:tcW w:w="7300" w:type="dxa"/>
            <w:gridSpan w:val="2"/>
            <w:tcBorders>
              <w:top w:val="nil"/>
              <w:left w:val="nil"/>
              <w:bottom w:val="single" w:sz="4" w:space="0" w:color="auto"/>
              <w:right w:val="nil"/>
            </w:tcBorders>
            <w:shd w:val="clear" w:color="auto" w:fill="auto"/>
            <w:noWrap/>
            <w:vAlign w:val="center"/>
            <w:hideMark/>
          </w:tcPr>
          <w:p w14:paraId="4E7A652A"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혁신의 측정</w:t>
            </w:r>
          </w:p>
        </w:tc>
      </w:tr>
      <w:tr w:rsidR="00123EDC" w:rsidRPr="00123EDC" w14:paraId="06DB8207" w14:textId="77777777" w:rsidTr="00C4553A">
        <w:trPr>
          <w:trHeight w:val="470"/>
        </w:trPr>
        <w:tc>
          <w:tcPr>
            <w:tcW w:w="1843" w:type="dxa"/>
            <w:tcBorders>
              <w:top w:val="single" w:sz="4" w:space="0" w:color="auto"/>
              <w:left w:val="nil"/>
              <w:bottom w:val="single" w:sz="4" w:space="0" w:color="auto"/>
              <w:right w:val="nil"/>
            </w:tcBorders>
            <w:shd w:val="clear" w:color="auto" w:fill="auto"/>
            <w:noWrap/>
            <w:vAlign w:val="center"/>
            <w:hideMark/>
          </w:tcPr>
          <w:p w14:paraId="210784E9" w14:textId="68F71E6E"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lpatent </w:t>
            </w:r>
            <w:r w:rsidRPr="00123EDC">
              <w:rPr>
                <w:rFonts w:ascii="HY신명조" w:eastAsia="HY신명조" w:hAnsi="나눔고딕" w:cs="나눔고딕" w:hint="eastAsia"/>
                <w:sz w:val="17"/>
                <w:szCs w:val="17"/>
                <w:vertAlign w:val="subscript"/>
              </w:rPr>
              <w:t>t+3</w:t>
            </w:r>
          </w:p>
        </w:tc>
        <w:tc>
          <w:tcPr>
            <w:tcW w:w="5457" w:type="dxa"/>
            <w:tcBorders>
              <w:top w:val="single" w:sz="4" w:space="0" w:color="auto"/>
              <w:left w:val="nil"/>
              <w:bottom w:val="single" w:sz="4" w:space="0" w:color="auto"/>
              <w:right w:val="nil"/>
            </w:tcBorders>
            <w:shd w:val="clear" w:color="auto" w:fill="auto"/>
            <w:noWrap/>
            <w:vAlign w:val="center"/>
            <w:hideMark/>
          </w:tcPr>
          <w:p w14:paraId="3882A407"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애널리스트가 커버리지 리포트가 포함된 연도 t 기준 3년 후의 전체 특허수(실제 등록된)에 1을 더하여 자연로그를 취한 값</w:t>
            </w:r>
          </w:p>
        </w:tc>
      </w:tr>
      <w:tr w:rsidR="00123EDC" w:rsidRPr="00123EDC" w14:paraId="6AAE2EAA" w14:textId="77777777" w:rsidTr="00C4553A">
        <w:trPr>
          <w:trHeight w:val="470"/>
        </w:trPr>
        <w:tc>
          <w:tcPr>
            <w:tcW w:w="7300" w:type="dxa"/>
            <w:gridSpan w:val="2"/>
            <w:tcBorders>
              <w:top w:val="nil"/>
              <w:left w:val="nil"/>
              <w:bottom w:val="single" w:sz="4" w:space="0" w:color="auto"/>
              <w:right w:val="nil"/>
            </w:tcBorders>
            <w:shd w:val="clear" w:color="auto" w:fill="auto"/>
            <w:noWrap/>
            <w:vAlign w:val="center"/>
            <w:hideMark/>
          </w:tcPr>
          <w:p w14:paraId="2E180615"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애널리스트의 커버리지 및 기타 변수들</w:t>
            </w:r>
          </w:p>
        </w:tc>
      </w:tr>
      <w:tr w:rsidR="00123EDC" w:rsidRPr="00123EDC" w14:paraId="4DC6E230" w14:textId="77777777" w:rsidTr="00C4553A">
        <w:trPr>
          <w:trHeight w:val="470"/>
        </w:trPr>
        <w:tc>
          <w:tcPr>
            <w:tcW w:w="1843" w:type="dxa"/>
            <w:tcBorders>
              <w:top w:val="single" w:sz="4" w:space="0" w:color="auto"/>
              <w:left w:val="nil"/>
              <w:bottom w:val="nil"/>
              <w:right w:val="nil"/>
            </w:tcBorders>
            <w:shd w:val="clear" w:color="auto" w:fill="auto"/>
            <w:noWrap/>
            <w:vAlign w:val="center"/>
            <w:hideMark/>
          </w:tcPr>
          <w:p w14:paraId="37412432" w14:textId="5A137F1E"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lcoverage </w:t>
            </w:r>
            <w:r w:rsidRPr="00123EDC">
              <w:rPr>
                <w:rFonts w:ascii="HY신명조" w:eastAsia="HY신명조" w:hAnsi="나눔고딕" w:cs="나눔고딕" w:hint="eastAsia"/>
                <w:sz w:val="17"/>
                <w:szCs w:val="17"/>
                <w:vertAlign w:val="subscript"/>
              </w:rPr>
              <w:t>t</w:t>
            </w:r>
          </w:p>
        </w:tc>
        <w:tc>
          <w:tcPr>
            <w:tcW w:w="5457" w:type="dxa"/>
            <w:tcBorders>
              <w:top w:val="single" w:sz="4" w:space="0" w:color="auto"/>
              <w:left w:val="nil"/>
              <w:bottom w:val="nil"/>
              <w:right w:val="nil"/>
            </w:tcBorders>
            <w:shd w:val="clear" w:color="auto" w:fill="auto"/>
            <w:noWrap/>
            <w:vAlign w:val="center"/>
            <w:hideMark/>
          </w:tcPr>
          <w:p w14:paraId="59167658" w14:textId="587819CB"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애널리스트가 상장사별로 리포트를 발간하여 t년 에프앤가이드에 등록된 리포트들의 총합에 1을 더하여 자연로그를 취한 값</w:t>
            </w:r>
          </w:p>
        </w:tc>
      </w:tr>
      <w:tr w:rsidR="00123EDC" w:rsidRPr="00123EDC" w14:paraId="0C6AFB70" w14:textId="77777777" w:rsidTr="00C4553A">
        <w:trPr>
          <w:trHeight w:val="470"/>
        </w:trPr>
        <w:tc>
          <w:tcPr>
            <w:tcW w:w="1843" w:type="dxa"/>
            <w:tcBorders>
              <w:top w:val="nil"/>
              <w:left w:val="nil"/>
              <w:bottom w:val="nil"/>
              <w:right w:val="nil"/>
            </w:tcBorders>
            <w:shd w:val="clear" w:color="auto" w:fill="auto"/>
            <w:noWrap/>
            <w:vAlign w:val="center"/>
            <w:hideMark/>
          </w:tcPr>
          <w:p w14:paraId="61E02B92" w14:textId="643E6EB5"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총자산 </w:t>
            </w:r>
            <w:r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6FF45B99"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기업의 자산총계</w:t>
            </w:r>
          </w:p>
        </w:tc>
      </w:tr>
      <w:tr w:rsidR="00123EDC" w:rsidRPr="00123EDC" w14:paraId="2254F9C5" w14:textId="77777777" w:rsidTr="00C4553A">
        <w:trPr>
          <w:trHeight w:val="470"/>
        </w:trPr>
        <w:tc>
          <w:tcPr>
            <w:tcW w:w="1843" w:type="dxa"/>
            <w:tcBorders>
              <w:top w:val="nil"/>
              <w:left w:val="nil"/>
              <w:bottom w:val="nil"/>
              <w:right w:val="nil"/>
            </w:tcBorders>
            <w:shd w:val="clear" w:color="auto" w:fill="auto"/>
            <w:noWrap/>
            <w:vAlign w:val="center"/>
            <w:hideMark/>
          </w:tcPr>
          <w:p w14:paraId="7F3CBF17" w14:textId="4643C71B"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부채비율 </w:t>
            </w:r>
            <w:r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87BD987" w14:textId="59C9242B"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기업의 부채 비율(</w:t>
            </w:r>
            <w:r w:rsidR="005770A3">
              <w:rPr>
                <w:rFonts w:ascii="HY신명조" w:eastAsia="HY신명조" w:hAnsi="맑은 고딕" w:cs="굴림" w:hint="eastAsia"/>
                <w:color w:val="000000"/>
                <w:sz w:val="17"/>
                <w:szCs w:val="17"/>
                <w:lang w:val="en-US"/>
              </w:rPr>
              <w:t>=</w:t>
            </w:r>
            <w:r w:rsidRPr="00123EDC">
              <w:rPr>
                <w:rFonts w:ascii="HY신명조" w:eastAsia="HY신명조" w:hAnsi="맑은 고딕" w:cs="굴림" w:hint="eastAsia"/>
                <w:color w:val="000000"/>
                <w:sz w:val="17"/>
                <w:szCs w:val="17"/>
                <w:lang w:val="en-US"/>
              </w:rPr>
              <w:t>부채 총계 / 자본 총계)</w:t>
            </w:r>
          </w:p>
        </w:tc>
      </w:tr>
      <w:tr w:rsidR="00123EDC" w:rsidRPr="00123EDC" w14:paraId="7106C7FF" w14:textId="77777777" w:rsidTr="00C4553A">
        <w:trPr>
          <w:trHeight w:val="470"/>
        </w:trPr>
        <w:tc>
          <w:tcPr>
            <w:tcW w:w="1843" w:type="dxa"/>
            <w:tcBorders>
              <w:top w:val="nil"/>
              <w:left w:val="nil"/>
              <w:bottom w:val="nil"/>
              <w:right w:val="nil"/>
            </w:tcBorders>
            <w:shd w:val="clear" w:color="auto" w:fill="auto"/>
            <w:noWrap/>
            <w:vAlign w:val="center"/>
            <w:hideMark/>
          </w:tcPr>
          <w:p w14:paraId="30FEB95C" w14:textId="207D4113"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순부채비율 </w:t>
            </w:r>
            <w:r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3719BA24" w14:textId="60F2B2FB"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기업의 순부채비율(</w:t>
            </w:r>
            <w:r w:rsidR="005770A3">
              <w:rPr>
                <w:rFonts w:ascii="HY신명조" w:eastAsia="HY신명조" w:hAnsi="맑은 고딕" w:cs="굴림" w:hint="eastAsia"/>
                <w:color w:val="000000"/>
                <w:sz w:val="17"/>
                <w:szCs w:val="17"/>
                <w:lang w:val="en-US"/>
              </w:rPr>
              <w:t>=</w:t>
            </w:r>
            <w:r w:rsidRPr="00123EDC">
              <w:rPr>
                <w:rFonts w:ascii="HY신명조" w:eastAsia="HY신명조" w:hAnsi="맑은 고딕" w:cs="굴림" w:hint="eastAsia"/>
                <w:color w:val="000000"/>
                <w:sz w:val="17"/>
                <w:szCs w:val="17"/>
                <w:lang w:val="en-US"/>
              </w:rPr>
              <w:t>이자성부채-현금성자산 및 단기금융자산) / 총자본</w:t>
            </w:r>
          </w:p>
        </w:tc>
      </w:tr>
      <w:tr w:rsidR="00123EDC" w:rsidRPr="00123EDC" w14:paraId="0BC17FEF" w14:textId="77777777" w:rsidTr="00C4553A">
        <w:trPr>
          <w:trHeight w:val="470"/>
        </w:trPr>
        <w:tc>
          <w:tcPr>
            <w:tcW w:w="1843" w:type="dxa"/>
            <w:tcBorders>
              <w:top w:val="nil"/>
              <w:left w:val="nil"/>
              <w:bottom w:val="nil"/>
              <w:right w:val="nil"/>
            </w:tcBorders>
            <w:shd w:val="clear" w:color="auto" w:fill="auto"/>
            <w:noWrap/>
            <w:vAlign w:val="center"/>
            <w:hideMark/>
          </w:tcPr>
          <w:p w14:paraId="2C33886F" w14:textId="3A3A1043"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hint="eastAsia"/>
                <w:sz w:val="17"/>
                <w:szCs w:val="17"/>
              </w:rPr>
              <w:t xml:space="preserve">임직원수 </w:t>
            </w:r>
            <w:r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005DB79"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기업 임직원수</w:t>
            </w:r>
          </w:p>
        </w:tc>
      </w:tr>
      <w:tr w:rsidR="00123EDC" w:rsidRPr="00123EDC" w14:paraId="5D4EE42F" w14:textId="77777777" w:rsidTr="00C4553A">
        <w:trPr>
          <w:trHeight w:val="470"/>
        </w:trPr>
        <w:tc>
          <w:tcPr>
            <w:tcW w:w="1843" w:type="dxa"/>
            <w:tcBorders>
              <w:top w:val="nil"/>
              <w:left w:val="nil"/>
              <w:bottom w:val="nil"/>
              <w:right w:val="nil"/>
            </w:tcBorders>
            <w:shd w:val="clear" w:color="auto" w:fill="auto"/>
            <w:noWrap/>
            <w:vAlign w:val="center"/>
            <w:hideMark/>
          </w:tcPr>
          <w:p w14:paraId="1955B889" w14:textId="5AF2275E"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외국인 지분율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89528E7"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기업 내 외국인 지분율</w:t>
            </w:r>
          </w:p>
        </w:tc>
      </w:tr>
      <w:tr w:rsidR="00123EDC" w:rsidRPr="00123EDC" w14:paraId="07BA7FC6" w14:textId="77777777" w:rsidTr="00C4553A">
        <w:trPr>
          <w:trHeight w:val="470"/>
        </w:trPr>
        <w:tc>
          <w:tcPr>
            <w:tcW w:w="1843" w:type="dxa"/>
            <w:tcBorders>
              <w:top w:val="nil"/>
              <w:left w:val="nil"/>
              <w:bottom w:val="nil"/>
              <w:right w:val="nil"/>
            </w:tcBorders>
            <w:shd w:val="clear" w:color="auto" w:fill="auto"/>
            <w:noWrap/>
            <w:vAlign w:val="center"/>
            <w:hideMark/>
          </w:tcPr>
          <w:p w14:paraId="3694B6BE" w14:textId="3C1EE50C"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hint="eastAsia"/>
                <w:sz w:val="17"/>
                <w:szCs w:val="17"/>
              </w:rPr>
              <w:t xml:space="preserve">최대주주 지분율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2335E6F"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최대 주주 보통주 지분율</w:t>
            </w:r>
          </w:p>
        </w:tc>
      </w:tr>
      <w:tr w:rsidR="00123EDC" w:rsidRPr="00123EDC" w14:paraId="05BF85AD" w14:textId="77777777" w:rsidTr="00C4553A">
        <w:trPr>
          <w:trHeight w:val="470"/>
        </w:trPr>
        <w:tc>
          <w:tcPr>
            <w:tcW w:w="1843" w:type="dxa"/>
            <w:tcBorders>
              <w:top w:val="nil"/>
              <w:left w:val="nil"/>
              <w:bottom w:val="nil"/>
              <w:right w:val="nil"/>
            </w:tcBorders>
            <w:shd w:val="clear" w:color="auto" w:fill="auto"/>
            <w:noWrap/>
            <w:vAlign w:val="center"/>
            <w:hideMark/>
          </w:tcPr>
          <w:p w14:paraId="18C4924C" w14:textId="79C817EC"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거래량 회전율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482D1D08" w14:textId="147D6F6C"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거래량 회전율(</w:t>
            </w:r>
            <w:r w:rsidR="005770A3">
              <w:rPr>
                <w:rFonts w:ascii="HY신명조" w:eastAsia="HY신명조" w:hAnsi="맑은 고딕" w:cs="굴림" w:hint="eastAsia"/>
                <w:color w:val="000000"/>
                <w:sz w:val="17"/>
                <w:szCs w:val="17"/>
                <w:lang w:val="en-US"/>
              </w:rPr>
              <w:t>=</w:t>
            </w:r>
            <w:r w:rsidRPr="00123EDC">
              <w:rPr>
                <w:rFonts w:ascii="HY신명조" w:eastAsia="HY신명조" w:hAnsi="맑은 고딕" w:cs="굴림" w:hint="eastAsia"/>
                <w:color w:val="000000"/>
                <w:sz w:val="17"/>
                <w:szCs w:val="17"/>
                <w:lang w:val="en-US"/>
              </w:rPr>
              <w:t>누적거래량 / 총상장주식수 X 100)</w:t>
            </w:r>
          </w:p>
        </w:tc>
      </w:tr>
      <w:tr w:rsidR="00123EDC" w:rsidRPr="00123EDC" w14:paraId="340761C9" w14:textId="77777777" w:rsidTr="00C4553A">
        <w:trPr>
          <w:trHeight w:val="470"/>
        </w:trPr>
        <w:tc>
          <w:tcPr>
            <w:tcW w:w="1843" w:type="dxa"/>
            <w:tcBorders>
              <w:top w:val="nil"/>
              <w:left w:val="nil"/>
              <w:bottom w:val="nil"/>
              <w:right w:val="nil"/>
            </w:tcBorders>
            <w:shd w:val="clear" w:color="auto" w:fill="auto"/>
            <w:noWrap/>
            <w:vAlign w:val="center"/>
            <w:hideMark/>
          </w:tcPr>
          <w:p w14:paraId="1F77FDD7" w14:textId="2732FD21"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hint="eastAsia"/>
                <w:sz w:val="17"/>
                <w:szCs w:val="17"/>
              </w:rPr>
              <w:t xml:space="preserve">시가총액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951D93A"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주식 시장 내 시가총액</w:t>
            </w:r>
          </w:p>
        </w:tc>
      </w:tr>
      <w:tr w:rsidR="00123EDC" w:rsidRPr="00123EDC" w14:paraId="68BEF838" w14:textId="77777777" w:rsidTr="00C4553A">
        <w:trPr>
          <w:trHeight w:val="470"/>
        </w:trPr>
        <w:tc>
          <w:tcPr>
            <w:tcW w:w="1843" w:type="dxa"/>
            <w:tcBorders>
              <w:top w:val="nil"/>
              <w:left w:val="nil"/>
              <w:bottom w:val="nil"/>
              <w:right w:val="nil"/>
            </w:tcBorders>
            <w:shd w:val="clear" w:color="auto" w:fill="auto"/>
            <w:noWrap/>
            <w:vAlign w:val="center"/>
            <w:hideMark/>
          </w:tcPr>
          <w:p w14:paraId="1A3F1C16" w14:textId="413875FA"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hint="eastAsia"/>
                <w:sz w:val="17"/>
                <w:szCs w:val="17"/>
              </w:rPr>
              <w:t>존속연수</w:t>
            </w:r>
            <w:r w:rsidRPr="00123EDC">
              <w:rPr>
                <w:rFonts w:ascii="HY신명조" w:eastAsia="HY신명조" w:hAnsi="나눔고딕" w:cs="나눔고딕" w:hint="eastAsia"/>
                <w:sz w:val="17"/>
                <w:szCs w:val="17"/>
              </w:rPr>
              <w:t xml:space="preserve">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02253716"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설립 후 존속연수</w:t>
            </w:r>
          </w:p>
        </w:tc>
      </w:tr>
      <w:tr w:rsidR="00123EDC" w:rsidRPr="00123EDC" w14:paraId="46FEF229" w14:textId="77777777" w:rsidTr="00C4553A">
        <w:trPr>
          <w:trHeight w:val="470"/>
        </w:trPr>
        <w:tc>
          <w:tcPr>
            <w:tcW w:w="1843" w:type="dxa"/>
            <w:tcBorders>
              <w:top w:val="nil"/>
              <w:left w:val="nil"/>
              <w:bottom w:val="nil"/>
              <w:right w:val="nil"/>
            </w:tcBorders>
            <w:shd w:val="clear" w:color="auto" w:fill="auto"/>
            <w:noWrap/>
            <w:vAlign w:val="center"/>
            <w:hideMark/>
          </w:tcPr>
          <w:p w14:paraId="01456327" w14:textId="210548F6"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토빈의 Q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5DF97B60"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말 시가총액/총자본</w:t>
            </w:r>
          </w:p>
        </w:tc>
      </w:tr>
      <w:tr w:rsidR="00123EDC" w:rsidRPr="00123EDC" w14:paraId="40DC08E2" w14:textId="77777777" w:rsidTr="00C4553A">
        <w:trPr>
          <w:trHeight w:val="470"/>
        </w:trPr>
        <w:tc>
          <w:tcPr>
            <w:tcW w:w="1843" w:type="dxa"/>
            <w:tcBorders>
              <w:top w:val="nil"/>
              <w:left w:val="nil"/>
              <w:bottom w:val="nil"/>
              <w:right w:val="nil"/>
            </w:tcBorders>
            <w:shd w:val="clear" w:color="auto" w:fill="auto"/>
            <w:noWrap/>
            <w:vAlign w:val="center"/>
            <w:hideMark/>
          </w:tcPr>
          <w:p w14:paraId="3D9CDD7F" w14:textId="62DEE802"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국내10년국채금리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nil"/>
              <w:right w:val="nil"/>
            </w:tcBorders>
            <w:shd w:val="clear" w:color="auto" w:fill="auto"/>
            <w:noWrap/>
            <w:vAlign w:val="center"/>
            <w:hideMark/>
          </w:tcPr>
          <w:p w14:paraId="45EA195E"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t 회계연도 평균 국내 10년 국채 금리</w:t>
            </w:r>
          </w:p>
        </w:tc>
      </w:tr>
      <w:tr w:rsidR="00123EDC" w:rsidRPr="00123EDC" w14:paraId="22664716" w14:textId="77777777" w:rsidTr="00C4553A">
        <w:trPr>
          <w:trHeight w:val="470"/>
        </w:trPr>
        <w:tc>
          <w:tcPr>
            <w:tcW w:w="1843" w:type="dxa"/>
            <w:tcBorders>
              <w:top w:val="nil"/>
              <w:left w:val="nil"/>
              <w:bottom w:val="single" w:sz="4" w:space="0" w:color="auto"/>
              <w:right w:val="nil"/>
            </w:tcBorders>
            <w:shd w:val="clear" w:color="auto" w:fill="auto"/>
            <w:noWrap/>
            <w:vAlign w:val="center"/>
            <w:hideMark/>
          </w:tcPr>
          <w:p w14:paraId="544DA8DB" w14:textId="0F7663C1"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나눔고딕" w:cs="나눔고딕" w:hint="eastAsia"/>
                <w:sz w:val="17"/>
                <w:szCs w:val="17"/>
              </w:rPr>
              <w:t xml:space="preserve">예상커버리지수 </w:t>
            </w:r>
            <w:r w:rsidR="00C4553A" w:rsidRPr="00123EDC">
              <w:rPr>
                <w:rFonts w:ascii="HY신명조" w:eastAsia="HY신명조" w:hAnsi="나눔고딕" w:cs="나눔고딕" w:hint="eastAsia"/>
                <w:sz w:val="17"/>
                <w:szCs w:val="17"/>
                <w:vertAlign w:val="subscript"/>
              </w:rPr>
              <w:t>t</w:t>
            </w:r>
          </w:p>
        </w:tc>
        <w:tc>
          <w:tcPr>
            <w:tcW w:w="5457" w:type="dxa"/>
            <w:tcBorders>
              <w:top w:val="nil"/>
              <w:left w:val="nil"/>
              <w:bottom w:val="single" w:sz="4" w:space="0" w:color="auto"/>
              <w:right w:val="nil"/>
            </w:tcBorders>
            <w:shd w:val="clear" w:color="auto" w:fill="auto"/>
            <w:noWrap/>
            <w:vAlign w:val="center"/>
            <w:hideMark/>
          </w:tcPr>
          <w:p w14:paraId="4253C2D5" w14:textId="77777777" w:rsidR="00123EDC" w:rsidRPr="00123EDC" w:rsidRDefault="00123EDC" w:rsidP="00123EDC">
            <w:pPr>
              <w:spacing w:line="240" w:lineRule="auto"/>
              <w:rPr>
                <w:rFonts w:ascii="HY신명조" w:eastAsia="HY신명조" w:hAnsi="맑은 고딕" w:cs="굴림"/>
                <w:color w:val="000000"/>
                <w:sz w:val="17"/>
                <w:szCs w:val="17"/>
                <w:lang w:val="en-US"/>
              </w:rPr>
            </w:pPr>
            <w:r w:rsidRPr="00123EDC">
              <w:rPr>
                <w:rFonts w:ascii="HY신명조" w:eastAsia="HY신명조" w:hAnsi="맑은 고딕" w:cs="굴림" w:hint="eastAsia"/>
                <w:color w:val="000000"/>
                <w:sz w:val="17"/>
                <w:szCs w:val="17"/>
                <w:lang w:val="en-US"/>
              </w:rPr>
              <w:t>각 증권사의 2003년 임직원수를 기준으로 t년 증권사의 임직원수 변화율을 기반으로 추정한 t 회계연도 예상 커버리지 총합</w:t>
            </w:r>
          </w:p>
        </w:tc>
      </w:tr>
    </w:tbl>
    <w:p w14:paraId="4F369B97" w14:textId="77777777" w:rsidR="00286A95" w:rsidRPr="007F5E62" w:rsidRDefault="00286A95" w:rsidP="00C831C9">
      <w:pPr>
        <w:widowControl w:val="0"/>
        <w:spacing w:line="420" w:lineRule="auto"/>
        <w:jc w:val="both"/>
        <w:rPr>
          <w:rFonts w:ascii="HY신명조" w:eastAsia="HY신명조" w:hAnsi="나눔고딕" w:cs="나눔고딕"/>
          <w:sz w:val="20"/>
          <w:szCs w:val="20"/>
        </w:rPr>
      </w:pPr>
    </w:p>
    <w:p w14:paraId="7F986011" w14:textId="77777777" w:rsidR="00123EDC" w:rsidRDefault="00123EDC">
      <w:pPr>
        <w:rPr>
          <w:rFonts w:ascii="HY신명조" w:eastAsia="HY신명조" w:hAnsi="나눔고딕" w:cs="나눔고딕"/>
          <w:sz w:val="24"/>
          <w:szCs w:val="24"/>
        </w:rPr>
      </w:pPr>
      <w:r>
        <w:rPr>
          <w:rFonts w:ascii="HY신명조" w:eastAsia="HY신명조" w:hAnsi="나눔고딕" w:cs="나눔고딕"/>
          <w:sz w:val="24"/>
          <w:szCs w:val="24"/>
        </w:rPr>
        <w:br w:type="page"/>
      </w:r>
    </w:p>
    <w:p w14:paraId="66090A1B" w14:textId="7B54CF0F" w:rsidR="00286A95" w:rsidRPr="007F5E62" w:rsidRDefault="00AB7484" w:rsidP="00117637">
      <w:pPr>
        <w:widowControl w:val="0"/>
        <w:numPr>
          <w:ilvl w:val="2"/>
          <w:numId w:val="3"/>
        </w:numPr>
        <w:pBdr>
          <w:top w:val="nil"/>
          <w:left w:val="nil"/>
          <w:bottom w:val="nil"/>
          <w:right w:val="nil"/>
          <w:between w:val="nil"/>
        </w:pBdr>
        <w:spacing w:line="420" w:lineRule="auto"/>
        <w:ind w:left="283" w:hangingChars="118" w:hanging="283"/>
        <w:jc w:val="both"/>
        <w:rPr>
          <w:rFonts w:ascii="HY신명조" w:eastAsia="HY신명조" w:hAnsi="나눔고딕" w:cs="나눔고딕"/>
          <w:sz w:val="24"/>
          <w:szCs w:val="24"/>
        </w:rPr>
      </w:pPr>
      <w:r w:rsidRPr="007F5E62">
        <w:rPr>
          <w:rFonts w:ascii="HY신명조" w:eastAsia="HY신명조" w:hAnsi="나눔고딕" w:cs="나눔고딕" w:hint="eastAsia"/>
          <w:sz w:val="24"/>
          <w:szCs w:val="24"/>
        </w:rPr>
        <w:lastRenderedPageBreak/>
        <w:t>기본통계량</w:t>
      </w:r>
    </w:p>
    <w:p w14:paraId="03D5A207" w14:textId="64E7F556"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각 변수의 평균값은 기업 별 연간 특허수가 200개, 커버리지(보고서건수)는 258건이다. 회사 규모 관련된 변수의 평균값은 임직원수, 총자산, 시가총액이 각각 7,677명, 9조원, 5.9조원이고 재무 관련 변수 부채비율, 순부채비율, 존속연수는 각각 125%, 32%, 31년으로 산출되었다. 투자와 경기 관련 변수의 평균값은 외국인 지분율, 최대주주 지분율, 거래량 회전율, </w:t>
      </w:r>
      <w:r w:rsidR="00D11541">
        <w:rPr>
          <w:rFonts w:ascii="HY신명조" w:eastAsia="HY신명조" w:hAnsi="나눔고딕" w:cs="나눔고딕" w:hint="eastAsia"/>
          <w:sz w:val="20"/>
          <w:szCs w:val="20"/>
        </w:rPr>
        <w:t>토빈의</w:t>
      </w:r>
      <w:r w:rsidRPr="007F5E62">
        <w:rPr>
          <w:rFonts w:ascii="HY신명조" w:eastAsia="HY신명조" w:hAnsi="나눔고딕" w:cs="나눔고딕" w:hint="eastAsia"/>
          <w:sz w:val="20"/>
          <w:szCs w:val="20"/>
        </w:rPr>
        <w:t xml:space="preserve"> Q, 국내10년국채금리는 각각 27%, 36%, 0.6회, 2.1, 4.8%를 기록했다.</w:t>
      </w:r>
    </w:p>
    <w:p w14:paraId="35B58F74" w14:textId="77777777" w:rsidR="00286A95" w:rsidRPr="007F5E6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114D35BA" w14:textId="5514DD40" w:rsidR="00286A95" w:rsidRDefault="004A7DF3" w:rsidP="004A7DF3">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r w:rsidRPr="007F5E62">
        <w:rPr>
          <w:rFonts w:ascii="HY신명조" w:eastAsia="HY신명조" w:hAnsi="나눔고딕" w:cs="나눔고딕" w:hint="eastAsia"/>
          <w:sz w:val="20"/>
          <w:szCs w:val="20"/>
        </w:rPr>
        <w:t>&lt;표</w:t>
      </w:r>
      <w:r>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2&gt; 요약통계량</w:t>
      </w:r>
    </w:p>
    <w:tbl>
      <w:tblPr>
        <w:tblW w:w="7000" w:type="dxa"/>
        <w:tblCellMar>
          <w:left w:w="99" w:type="dxa"/>
          <w:right w:w="99" w:type="dxa"/>
        </w:tblCellMar>
        <w:tblLook w:val="04A0" w:firstRow="1" w:lastRow="0" w:firstColumn="1" w:lastColumn="0" w:noHBand="0" w:noVBand="1"/>
      </w:tblPr>
      <w:tblGrid>
        <w:gridCol w:w="1720"/>
        <w:gridCol w:w="880"/>
        <w:gridCol w:w="880"/>
        <w:gridCol w:w="880"/>
        <w:gridCol w:w="880"/>
        <w:gridCol w:w="880"/>
        <w:gridCol w:w="880"/>
      </w:tblGrid>
      <w:tr w:rsidR="004A7DF3" w:rsidRPr="004A7DF3" w14:paraId="21E668A1" w14:textId="77777777" w:rsidTr="004A7DF3">
        <w:trPr>
          <w:trHeight w:val="330"/>
        </w:trPr>
        <w:tc>
          <w:tcPr>
            <w:tcW w:w="1720" w:type="dxa"/>
            <w:tcBorders>
              <w:top w:val="single" w:sz="4" w:space="0" w:color="auto"/>
              <w:left w:val="nil"/>
              <w:bottom w:val="single" w:sz="4" w:space="0" w:color="auto"/>
              <w:right w:val="nil"/>
            </w:tcBorders>
            <w:shd w:val="clear" w:color="auto" w:fill="auto"/>
            <w:noWrap/>
            <w:vAlign w:val="center"/>
            <w:hideMark/>
          </w:tcPr>
          <w:p w14:paraId="62F52493"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변수</w:t>
            </w:r>
          </w:p>
        </w:tc>
        <w:tc>
          <w:tcPr>
            <w:tcW w:w="880" w:type="dxa"/>
            <w:tcBorders>
              <w:top w:val="single" w:sz="4" w:space="0" w:color="auto"/>
              <w:left w:val="nil"/>
              <w:bottom w:val="single" w:sz="4" w:space="0" w:color="auto"/>
              <w:right w:val="nil"/>
            </w:tcBorders>
            <w:shd w:val="clear" w:color="auto" w:fill="auto"/>
            <w:noWrap/>
            <w:vAlign w:val="center"/>
            <w:hideMark/>
          </w:tcPr>
          <w:p w14:paraId="7188FFF4"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1사분위</w:t>
            </w:r>
          </w:p>
        </w:tc>
        <w:tc>
          <w:tcPr>
            <w:tcW w:w="880" w:type="dxa"/>
            <w:tcBorders>
              <w:top w:val="single" w:sz="4" w:space="0" w:color="auto"/>
              <w:left w:val="nil"/>
              <w:bottom w:val="single" w:sz="4" w:space="0" w:color="auto"/>
              <w:right w:val="nil"/>
            </w:tcBorders>
            <w:shd w:val="clear" w:color="auto" w:fill="auto"/>
            <w:noWrap/>
            <w:vAlign w:val="center"/>
            <w:hideMark/>
          </w:tcPr>
          <w:p w14:paraId="2FD02AB4"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중간값</w:t>
            </w:r>
          </w:p>
        </w:tc>
        <w:tc>
          <w:tcPr>
            <w:tcW w:w="880" w:type="dxa"/>
            <w:tcBorders>
              <w:top w:val="single" w:sz="4" w:space="0" w:color="auto"/>
              <w:left w:val="nil"/>
              <w:bottom w:val="single" w:sz="4" w:space="0" w:color="auto"/>
              <w:right w:val="nil"/>
            </w:tcBorders>
            <w:shd w:val="clear" w:color="auto" w:fill="auto"/>
            <w:noWrap/>
            <w:vAlign w:val="center"/>
            <w:hideMark/>
          </w:tcPr>
          <w:p w14:paraId="600306FE"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평균</w:t>
            </w:r>
          </w:p>
        </w:tc>
        <w:tc>
          <w:tcPr>
            <w:tcW w:w="880" w:type="dxa"/>
            <w:tcBorders>
              <w:top w:val="single" w:sz="4" w:space="0" w:color="auto"/>
              <w:left w:val="nil"/>
              <w:bottom w:val="single" w:sz="4" w:space="0" w:color="auto"/>
              <w:right w:val="nil"/>
            </w:tcBorders>
            <w:shd w:val="clear" w:color="auto" w:fill="auto"/>
            <w:noWrap/>
            <w:vAlign w:val="center"/>
            <w:hideMark/>
          </w:tcPr>
          <w:p w14:paraId="6F3022AD"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3사분위</w:t>
            </w:r>
          </w:p>
        </w:tc>
        <w:tc>
          <w:tcPr>
            <w:tcW w:w="880" w:type="dxa"/>
            <w:tcBorders>
              <w:top w:val="single" w:sz="4" w:space="0" w:color="auto"/>
              <w:left w:val="nil"/>
              <w:bottom w:val="single" w:sz="4" w:space="0" w:color="auto"/>
              <w:right w:val="nil"/>
            </w:tcBorders>
            <w:shd w:val="clear" w:color="auto" w:fill="auto"/>
            <w:noWrap/>
            <w:vAlign w:val="center"/>
            <w:hideMark/>
          </w:tcPr>
          <w:p w14:paraId="24AF2FF9"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표준편차</w:t>
            </w:r>
          </w:p>
        </w:tc>
        <w:tc>
          <w:tcPr>
            <w:tcW w:w="880" w:type="dxa"/>
            <w:tcBorders>
              <w:top w:val="single" w:sz="4" w:space="0" w:color="auto"/>
              <w:left w:val="nil"/>
              <w:bottom w:val="single" w:sz="4" w:space="0" w:color="auto"/>
              <w:right w:val="nil"/>
            </w:tcBorders>
            <w:shd w:val="clear" w:color="auto" w:fill="auto"/>
            <w:noWrap/>
            <w:vAlign w:val="center"/>
            <w:hideMark/>
          </w:tcPr>
          <w:p w14:paraId="6FD0374D" w14:textId="77777777" w:rsidR="004A7DF3" w:rsidRPr="004A7DF3" w:rsidRDefault="004A7DF3" w:rsidP="004A7DF3">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표본수</w:t>
            </w:r>
          </w:p>
        </w:tc>
      </w:tr>
      <w:tr w:rsidR="00EC3A86" w:rsidRPr="004A7DF3" w14:paraId="53E4D699" w14:textId="77777777" w:rsidTr="004A7DF3">
        <w:trPr>
          <w:trHeight w:val="330"/>
        </w:trPr>
        <w:tc>
          <w:tcPr>
            <w:tcW w:w="1720" w:type="dxa"/>
            <w:tcBorders>
              <w:top w:val="nil"/>
              <w:left w:val="nil"/>
              <w:bottom w:val="nil"/>
              <w:right w:val="nil"/>
            </w:tcBorders>
            <w:shd w:val="clear" w:color="auto" w:fill="auto"/>
            <w:noWrap/>
            <w:vAlign w:val="center"/>
            <w:hideMark/>
          </w:tcPr>
          <w:p w14:paraId="1F48B272"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patent (개)</w:t>
            </w:r>
          </w:p>
        </w:tc>
        <w:tc>
          <w:tcPr>
            <w:tcW w:w="880" w:type="dxa"/>
            <w:tcBorders>
              <w:top w:val="nil"/>
              <w:left w:val="nil"/>
              <w:bottom w:val="nil"/>
              <w:right w:val="nil"/>
            </w:tcBorders>
            <w:shd w:val="clear" w:color="auto" w:fill="auto"/>
            <w:noWrap/>
            <w:vAlign w:val="center"/>
            <w:hideMark/>
          </w:tcPr>
          <w:p w14:paraId="42F27D9B" w14:textId="453C73E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11.0 </w:t>
            </w:r>
          </w:p>
        </w:tc>
        <w:tc>
          <w:tcPr>
            <w:tcW w:w="880" w:type="dxa"/>
            <w:tcBorders>
              <w:top w:val="nil"/>
              <w:left w:val="nil"/>
              <w:bottom w:val="nil"/>
              <w:right w:val="nil"/>
            </w:tcBorders>
            <w:shd w:val="clear" w:color="auto" w:fill="auto"/>
            <w:noWrap/>
            <w:vAlign w:val="center"/>
            <w:hideMark/>
          </w:tcPr>
          <w:p w14:paraId="6BC97401" w14:textId="33F01DE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43.0 </w:t>
            </w:r>
          </w:p>
        </w:tc>
        <w:tc>
          <w:tcPr>
            <w:tcW w:w="880" w:type="dxa"/>
            <w:tcBorders>
              <w:top w:val="nil"/>
              <w:left w:val="nil"/>
              <w:bottom w:val="nil"/>
              <w:right w:val="nil"/>
            </w:tcBorders>
            <w:shd w:val="clear" w:color="auto" w:fill="auto"/>
            <w:noWrap/>
            <w:vAlign w:val="center"/>
            <w:hideMark/>
          </w:tcPr>
          <w:p w14:paraId="2A743C42" w14:textId="211400B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199.9 </w:t>
            </w:r>
          </w:p>
        </w:tc>
        <w:tc>
          <w:tcPr>
            <w:tcW w:w="880" w:type="dxa"/>
            <w:tcBorders>
              <w:top w:val="nil"/>
              <w:left w:val="nil"/>
              <w:bottom w:val="nil"/>
              <w:right w:val="nil"/>
            </w:tcBorders>
            <w:shd w:val="clear" w:color="auto" w:fill="auto"/>
            <w:noWrap/>
            <w:vAlign w:val="center"/>
            <w:hideMark/>
          </w:tcPr>
          <w:p w14:paraId="4838670C" w14:textId="3A12F36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193.0 </w:t>
            </w:r>
          </w:p>
        </w:tc>
        <w:tc>
          <w:tcPr>
            <w:tcW w:w="880" w:type="dxa"/>
            <w:tcBorders>
              <w:top w:val="nil"/>
              <w:left w:val="nil"/>
              <w:bottom w:val="nil"/>
              <w:right w:val="nil"/>
            </w:tcBorders>
            <w:shd w:val="clear" w:color="auto" w:fill="auto"/>
            <w:noWrap/>
            <w:vAlign w:val="center"/>
            <w:hideMark/>
          </w:tcPr>
          <w:p w14:paraId="36D6249B" w14:textId="72FAB45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393.5 </w:t>
            </w:r>
          </w:p>
        </w:tc>
        <w:tc>
          <w:tcPr>
            <w:tcW w:w="880" w:type="dxa"/>
            <w:tcBorders>
              <w:top w:val="nil"/>
              <w:left w:val="nil"/>
              <w:bottom w:val="nil"/>
              <w:right w:val="nil"/>
            </w:tcBorders>
            <w:shd w:val="clear" w:color="auto" w:fill="auto"/>
            <w:noWrap/>
            <w:vAlign w:val="center"/>
            <w:hideMark/>
          </w:tcPr>
          <w:p w14:paraId="504721B4" w14:textId="62ADE47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60FECE58" w14:textId="77777777" w:rsidTr="004A7DF3">
        <w:trPr>
          <w:trHeight w:val="330"/>
        </w:trPr>
        <w:tc>
          <w:tcPr>
            <w:tcW w:w="1720" w:type="dxa"/>
            <w:tcBorders>
              <w:top w:val="nil"/>
              <w:left w:val="nil"/>
              <w:bottom w:val="nil"/>
              <w:right w:val="nil"/>
            </w:tcBorders>
            <w:shd w:val="clear" w:color="auto" w:fill="auto"/>
            <w:noWrap/>
            <w:vAlign w:val="center"/>
            <w:hideMark/>
          </w:tcPr>
          <w:p w14:paraId="0D098E1E"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coverage (개)</w:t>
            </w:r>
          </w:p>
        </w:tc>
        <w:tc>
          <w:tcPr>
            <w:tcW w:w="880" w:type="dxa"/>
            <w:tcBorders>
              <w:top w:val="nil"/>
              <w:left w:val="nil"/>
              <w:bottom w:val="nil"/>
              <w:right w:val="nil"/>
            </w:tcBorders>
            <w:shd w:val="clear" w:color="auto" w:fill="auto"/>
            <w:noWrap/>
            <w:vAlign w:val="center"/>
            <w:hideMark/>
          </w:tcPr>
          <w:p w14:paraId="429DC2E8" w14:textId="2D6CF6E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99.0 </w:t>
            </w:r>
          </w:p>
        </w:tc>
        <w:tc>
          <w:tcPr>
            <w:tcW w:w="880" w:type="dxa"/>
            <w:tcBorders>
              <w:top w:val="nil"/>
              <w:left w:val="nil"/>
              <w:bottom w:val="nil"/>
              <w:right w:val="nil"/>
            </w:tcBorders>
            <w:shd w:val="clear" w:color="auto" w:fill="auto"/>
            <w:noWrap/>
            <w:vAlign w:val="center"/>
            <w:hideMark/>
          </w:tcPr>
          <w:p w14:paraId="394B05FD" w14:textId="4FA798C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243.5 </w:t>
            </w:r>
          </w:p>
        </w:tc>
        <w:tc>
          <w:tcPr>
            <w:tcW w:w="880" w:type="dxa"/>
            <w:tcBorders>
              <w:top w:val="nil"/>
              <w:left w:val="nil"/>
              <w:bottom w:val="nil"/>
              <w:right w:val="nil"/>
            </w:tcBorders>
            <w:shd w:val="clear" w:color="auto" w:fill="auto"/>
            <w:noWrap/>
            <w:vAlign w:val="center"/>
            <w:hideMark/>
          </w:tcPr>
          <w:p w14:paraId="0E318E3C" w14:textId="6A2B35DE"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258.4 </w:t>
            </w:r>
          </w:p>
        </w:tc>
        <w:tc>
          <w:tcPr>
            <w:tcW w:w="880" w:type="dxa"/>
            <w:tcBorders>
              <w:top w:val="nil"/>
              <w:left w:val="nil"/>
              <w:bottom w:val="nil"/>
              <w:right w:val="nil"/>
            </w:tcBorders>
            <w:shd w:val="clear" w:color="auto" w:fill="auto"/>
            <w:noWrap/>
            <w:vAlign w:val="center"/>
            <w:hideMark/>
          </w:tcPr>
          <w:p w14:paraId="1E2A46AD" w14:textId="21FA3DB8"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398.0 </w:t>
            </w:r>
          </w:p>
        </w:tc>
        <w:tc>
          <w:tcPr>
            <w:tcW w:w="880" w:type="dxa"/>
            <w:tcBorders>
              <w:top w:val="nil"/>
              <w:left w:val="nil"/>
              <w:bottom w:val="nil"/>
              <w:right w:val="nil"/>
            </w:tcBorders>
            <w:shd w:val="clear" w:color="auto" w:fill="auto"/>
            <w:noWrap/>
            <w:vAlign w:val="center"/>
            <w:hideMark/>
          </w:tcPr>
          <w:p w14:paraId="56E61B23" w14:textId="66DA3DD5"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177.5 </w:t>
            </w:r>
          </w:p>
        </w:tc>
        <w:tc>
          <w:tcPr>
            <w:tcW w:w="880" w:type="dxa"/>
            <w:tcBorders>
              <w:top w:val="nil"/>
              <w:left w:val="nil"/>
              <w:bottom w:val="nil"/>
              <w:right w:val="nil"/>
            </w:tcBorders>
            <w:shd w:val="clear" w:color="auto" w:fill="auto"/>
            <w:noWrap/>
            <w:vAlign w:val="center"/>
            <w:hideMark/>
          </w:tcPr>
          <w:p w14:paraId="54ABE1B5" w14:textId="0669447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662C6801" w14:textId="77777777" w:rsidTr="004A7DF3">
        <w:trPr>
          <w:trHeight w:val="330"/>
        </w:trPr>
        <w:tc>
          <w:tcPr>
            <w:tcW w:w="1720" w:type="dxa"/>
            <w:tcBorders>
              <w:top w:val="nil"/>
              <w:left w:val="nil"/>
              <w:bottom w:val="nil"/>
              <w:right w:val="nil"/>
            </w:tcBorders>
            <w:shd w:val="clear" w:color="auto" w:fill="auto"/>
            <w:noWrap/>
            <w:vAlign w:val="center"/>
            <w:hideMark/>
          </w:tcPr>
          <w:p w14:paraId="2A3EEDE5"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총자산(십억원)</w:t>
            </w:r>
          </w:p>
        </w:tc>
        <w:tc>
          <w:tcPr>
            <w:tcW w:w="880" w:type="dxa"/>
            <w:tcBorders>
              <w:top w:val="nil"/>
              <w:left w:val="nil"/>
              <w:bottom w:val="nil"/>
              <w:right w:val="nil"/>
            </w:tcBorders>
            <w:shd w:val="clear" w:color="auto" w:fill="auto"/>
            <w:noWrap/>
            <w:vAlign w:val="center"/>
            <w:hideMark/>
          </w:tcPr>
          <w:p w14:paraId="4B39418F" w14:textId="5D3780B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1,155 </w:t>
            </w:r>
          </w:p>
        </w:tc>
        <w:tc>
          <w:tcPr>
            <w:tcW w:w="880" w:type="dxa"/>
            <w:tcBorders>
              <w:top w:val="nil"/>
              <w:left w:val="nil"/>
              <w:bottom w:val="nil"/>
              <w:right w:val="nil"/>
            </w:tcBorders>
            <w:shd w:val="clear" w:color="auto" w:fill="auto"/>
            <w:noWrap/>
            <w:vAlign w:val="center"/>
            <w:hideMark/>
          </w:tcPr>
          <w:p w14:paraId="6E94DCD8" w14:textId="42CF9838"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3,579 </w:t>
            </w:r>
          </w:p>
        </w:tc>
        <w:tc>
          <w:tcPr>
            <w:tcW w:w="880" w:type="dxa"/>
            <w:tcBorders>
              <w:top w:val="nil"/>
              <w:left w:val="nil"/>
              <w:bottom w:val="nil"/>
              <w:right w:val="nil"/>
            </w:tcBorders>
            <w:shd w:val="clear" w:color="auto" w:fill="auto"/>
            <w:noWrap/>
            <w:vAlign w:val="center"/>
            <w:hideMark/>
          </w:tcPr>
          <w:p w14:paraId="5FE938C3" w14:textId="39EDB278"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9,083 </w:t>
            </w:r>
          </w:p>
        </w:tc>
        <w:tc>
          <w:tcPr>
            <w:tcW w:w="880" w:type="dxa"/>
            <w:tcBorders>
              <w:top w:val="nil"/>
              <w:left w:val="nil"/>
              <w:bottom w:val="nil"/>
              <w:right w:val="nil"/>
            </w:tcBorders>
            <w:shd w:val="clear" w:color="auto" w:fill="auto"/>
            <w:noWrap/>
            <w:vAlign w:val="center"/>
            <w:hideMark/>
          </w:tcPr>
          <w:p w14:paraId="11337911" w14:textId="4FA04F7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11,049 </w:t>
            </w:r>
          </w:p>
        </w:tc>
        <w:tc>
          <w:tcPr>
            <w:tcW w:w="880" w:type="dxa"/>
            <w:tcBorders>
              <w:top w:val="nil"/>
              <w:left w:val="nil"/>
              <w:bottom w:val="nil"/>
              <w:right w:val="nil"/>
            </w:tcBorders>
            <w:shd w:val="clear" w:color="auto" w:fill="auto"/>
            <w:noWrap/>
            <w:vAlign w:val="center"/>
            <w:hideMark/>
          </w:tcPr>
          <w:p w14:paraId="7EB84E0C" w14:textId="7FF99C86"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15,977 </w:t>
            </w:r>
          </w:p>
        </w:tc>
        <w:tc>
          <w:tcPr>
            <w:tcW w:w="880" w:type="dxa"/>
            <w:tcBorders>
              <w:top w:val="nil"/>
              <w:left w:val="nil"/>
              <w:bottom w:val="nil"/>
              <w:right w:val="nil"/>
            </w:tcBorders>
            <w:shd w:val="clear" w:color="auto" w:fill="auto"/>
            <w:noWrap/>
            <w:vAlign w:val="center"/>
            <w:hideMark/>
          </w:tcPr>
          <w:p w14:paraId="7F97307F" w14:textId="08189B6B"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2AABFFB5" w14:textId="77777777" w:rsidTr="004A7DF3">
        <w:trPr>
          <w:trHeight w:val="330"/>
        </w:trPr>
        <w:tc>
          <w:tcPr>
            <w:tcW w:w="1720" w:type="dxa"/>
            <w:tcBorders>
              <w:top w:val="nil"/>
              <w:left w:val="nil"/>
              <w:bottom w:val="nil"/>
              <w:right w:val="nil"/>
            </w:tcBorders>
            <w:shd w:val="clear" w:color="auto" w:fill="auto"/>
            <w:noWrap/>
            <w:vAlign w:val="center"/>
            <w:hideMark/>
          </w:tcPr>
          <w:p w14:paraId="509ECF8B"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부채비율(%)</w:t>
            </w:r>
          </w:p>
        </w:tc>
        <w:tc>
          <w:tcPr>
            <w:tcW w:w="880" w:type="dxa"/>
            <w:tcBorders>
              <w:top w:val="nil"/>
              <w:left w:val="nil"/>
              <w:bottom w:val="nil"/>
              <w:right w:val="nil"/>
            </w:tcBorders>
            <w:shd w:val="clear" w:color="auto" w:fill="auto"/>
            <w:noWrap/>
            <w:vAlign w:val="center"/>
            <w:hideMark/>
          </w:tcPr>
          <w:p w14:paraId="778CF7E3" w14:textId="645579F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57.8 </w:t>
            </w:r>
          </w:p>
        </w:tc>
        <w:tc>
          <w:tcPr>
            <w:tcW w:w="880" w:type="dxa"/>
            <w:tcBorders>
              <w:top w:val="nil"/>
              <w:left w:val="nil"/>
              <w:bottom w:val="nil"/>
              <w:right w:val="nil"/>
            </w:tcBorders>
            <w:shd w:val="clear" w:color="auto" w:fill="auto"/>
            <w:noWrap/>
            <w:vAlign w:val="center"/>
            <w:hideMark/>
          </w:tcPr>
          <w:p w14:paraId="760EAAFC" w14:textId="69CCA0D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102.3 </w:t>
            </w:r>
          </w:p>
        </w:tc>
        <w:tc>
          <w:tcPr>
            <w:tcW w:w="880" w:type="dxa"/>
            <w:tcBorders>
              <w:top w:val="nil"/>
              <w:left w:val="nil"/>
              <w:bottom w:val="nil"/>
              <w:right w:val="nil"/>
            </w:tcBorders>
            <w:shd w:val="clear" w:color="auto" w:fill="auto"/>
            <w:noWrap/>
            <w:vAlign w:val="center"/>
            <w:hideMark/>
          </w:tcPr>
          <w:p w14:paraId="2BC27890" w14:textId="0E7537F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124.5 </w:t>
            </w:r>
          </w:p>
        </w:tc>
        <w:tc>
          <w:tcPr>
            <w:tcW w:w="880" w:type="dxa"/>
            <w:tcBorders>
              <w:top w:val="nil"/>
              <w:left w:val="nil"/>
              <w:bottom w:val="nil"/>
              <w:right w:val="nil"/>
            </w:tcBorders>
            <w:shd w:val="clear" w:color="auto" w:fill="auto"/>
            <w:noWrap/>
            <w:vAlign w:val="center"/>
            <w:hideMark/>
          </w:tcPr>
          <w:p w14:paraId="5E97FF42" w14:textId="395BCBF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162.0 </w:t>
            </w:r>
          </w:p>
        </w:tc>
        <w:tc>
          <w:tcPr>
            <w:tcW w:w="880" w:type="dxa"/>
            <w:tcBorders>
              <w:top w:val="nil"/>
              <w:left w:val="nil"/>
              <w:bottom w:val="nil"/>
              <w:right w:val="nil"/>
            </w:tcBorders>
            <w:shd w:val="clear" w:color="auto" w:fill="auto"/>
            <w:noWrap/>
            <w:vAlign w:val="center"/>
            <w:hideMark/>
          </w:tcPr>
          <w:p w14:paraId="082863BE" w14:textId="017E6327"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102.1 </w:t>
            </w:r>
          </w:p>
        </w:tc>
        <w:tc>
          <w:tcPr>
            <w:tcW w:w="880" w:type="dxa"/>
            <w:tcBorders>
              <w:top w:val="nil"/>
              <w:left w:val="nil"/>
              <w:bottom w:val="nil"/>
              <w:right w:val="nil"/>
            </w:tcBorders>
            <w:shd w:val="clear" w:color="auto" w:fill="auto"/>
            <w:noWrap/>
            <w:vAlign w:val="center"/>
            <w:hideMark/>
          </w:tcPr>
          <w:p w14:paraId="10871E8F" w14:textId="0B15D74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6503F2CC" w14:textId="77777777" w:rsidTr="004A7DF3">
        <w:trPr>
          <w:trHeight w:val="330"/>
        </w:trPr>
        <w:tc>
          <w:tcPr>
            <w:tcW w:w="1720" w:type="dxa"/>
            <w:tcBorders>
              <w:top w:val="nil"/>
              <w:left w:val="nil"/>
              <w:bottom w:val="nil"/>
              <w:right w:val="nil"/>
            </w:tcBorders>
            <w:shd w:val="clear" w:color="auto" w:fill="auto"/>
            <w:noWrap/>
            <w:vAlign w:val="center"/>
            <w:hideMark/>
          </w:tcPr>
          <w:p w14:paraId="237D9F98"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순부채비율(%)</w:t>
            </w:r>
          </w:p>
        </w:tc>
        <w:tc>
          <w:tcPr>
            <w:tcW w:w="880" w:type="dxa"/>
            <w:tcBorders>
              <w:top w:val="nil"/>
              <w:left w:val="nil"/>
              <w:bottom w:val="nil"/>
              <w:right w:val="nil"/>
            </w:tcBorders>
            <w:shd w:val="clear" w:color="auto" w:fill="auto"/>
            <w:noWrap/>
            <w:vAlign w:val="center"/>
            <w:hideMark/>
          </w:tcPr>
          <w:p w14:paraId="25603FB8" w14:textId="1174438C"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-12.3 </w:t>
            </w:r>
          </w:p>
        </w:tc>
        <w:tc>
          <w:tcPr>
            <w:tcW w:w="880" w:type="dxa"/>
            <w:tcBorders>
              <w:top w:val="nil"/>
              <w:left w:val="nil"/>
              <w:bottom w:val="nil"/>
              <w:right w:val="nil"/>
            </w:tcBorders>
            <w:shd w:val="clear" w:color="auto" w:fill="auto"/>
            <w:noWrap/>
            <w:vAlign w:val="center"/>
            <w:hideMark/>
          </w:tcPr>
          <w:p w14:paraId="787943D7" w14:textId="7CF50565"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23.8 </w:t>
            </w:r>
          </w:p>
        </w:tc>
        <w:tc>
          <w:tcPr>
            <w:tcW w:w="880" w:type="dxa"/>
            <w:tcBorders>
              <w:top w:val="nil"/>
              <w:left w:val="nil"/>
              <w:bottom w:val="nil"/>
              <w:right w:val="nil"/>
            </w:tcBorders>
            <w:shd w:val="clear" w:color="auto" w:fill="auto"/>
            <w:noWrap/>
            <w:vAlign w:val="center"/>
            <w:hideMark/>
          </w:tcPr>
          <w:p w14:paraId="5F2C92AE" w14:textId="5AFBC72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32.0 </w:t>
            </w:r>
          </w:p>
        </w:tc>
        <w:tc>
          <w:tcPr>
            <w:tcW w:w="880" w:type="dxa"/>
            <w:tcBorders>
              <w:top w:val="nil"/>
              <w:left w:val="nil"/>
              <w:bottom w:val="nil"/>
              <w:right w:val="nil"/>
            </w:tcBorders>
            <w:shd w:val="clear" w:color="auto" w:fill="auto"/>
            <w:noWrap/>
            <w:vAlign w:val="center"/>
            <w:hideMark/>
          </w:tcPr>
          <w:p w14:paraId="4C03F58D" w14:textId="15AF832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60.0 </w:t>
            </w:r>
          </w:p>
        </w:tc>
        <w:tc>
          <w:tcPr>
            <w:tcW w:w="880" w:type="dxa"/>
            <w:tcBorders>
              <w:top w:val="nil"/>
              <w:left w:val="nil"/>
              <w:bottom w:val="nil"/>
              <w:right w:val="nil"/>
            </w:tcBorders>
            <w:shd w:val="clear" w:color="auto" w:fill="auto"/>
            <w:noWrap/>
            <w:vAlign w:val="center"/>
            <w:hideMark/>
          </w:tcPr>
          <w:p w14:paraId="4EF001FB" w14:textId="7A05B285"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71.0 </w:t>
            </w:r>
          </w:p>
        </w:tc>
        <w:tc>
          <w:tcPr>
            <w:tcW w:w="880" w:type="dxa"/>
            <w:tcBorders>
              <w:top w:val="nil"/>
              <w:left w:val="nil"/>
              <w:bottom w:val="nil"/>
              <w:right w:val="nil"/>
            </w:tcBorders>
            <w:shd w:val="clear" w:color="auto" w:fill="auto"/>
            <w:noWrap/>
            <w:vAlign w:val="center"/>
            <w:hideMark/>
          </w:tcPr>
          <w:p w14:paraId="6888D944" w14:textId="2811F1B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3BAD54E3" w14:textId="77777777" w:rsidTr="004A7DF3">
        <w:trPr>
          <w:trHeight w:val="330"/>
        </w:trPr>
        <w:tc>
          <w:tcPr>
            <w:tcW w:w="1720" w:type="dxa"/>
            <w:tcBorders>
              <w:top w:val="nil"/>
              <w:left w:val="nil"/>
              <w:bottom w:val="nil"/>
              <w:right w:val="nil"/>
            </w:tcBorders>
            <w:shd w:val="clear" w:color="auto" w:fill="auto"/>
            <w:noWrap/>
            <w:vAlign w:val="center"/>
            <w:hideMark/>
          </w:tcPr>
          <w:p w14:paraId="638667EE"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임직원수(명)</w:t>
            </w:r>
          </w:p>
        </w:tc>
        <w:tc>
          <w:tcPr>
            <w:tcW w:w="880" w:type="dxa"/>
            <w:tcBorders>
              <w:top w:val="nil"/>
              <w:left w:val="nil"/>
              <w:bottom w:val="nil"/>
              <w:right w:val="nil"/>
            </w:tcBorders>
            <w:shd w:val="clear" w:color="auto" w:fill="auto"/>
            <w:noWrap/>
            <w:vAlign w:val="center"/>
            <w:hideMark/>
          </w:tcPr>
          <w:p w14:paraId="364DFDE9" w14:textId="04BAC5D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1,796 </w:t>
            </w:r>
          </w:p>
        </w:tc>
        <w:tc>
          <w:tcPr>
            <w:tcW w:w="880" w:type="dxa"/>
            <w:tcBorders>
              <w:top w:val="nil"/>
              <w:left w:val="nil"/>
              <w:bottom w:val="nil"/>
              <w:right w:val="nil"/>
            </w:tcBorders>
            <w:shd w:val="clear" w:color="auto" w:fill="auto"/>
            <w:noWrap/>
            <w:vAlign w:val="center"/>
            <w:hideMark/>
          </w:tcPr>
          <w:p w14:paraId="6912B56C" w14:textId="4B18D1C0"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3,823 </w:t>
            </w:r>
          </w:p>
        </w:tc>
        <w:tc>
          <w:tcPr>
            <w:tcW w:w="880" w:type="dxa"/>
            <w:tcBorders>
              <w:top w:val="nil"/>
              <w:left w:val="nil"/>
              <w:bottom w:val="nil"/>
              <w:right w:val="nil"/>
            </w:tcBorders>
            <w:shd w:val="clear" w:color="auto" w:fill="auto"/>
            <w:noWrap/>
            <w:vAlign w:val="center"/>
            <w:hideMark/>
          </w:tcPr>
          <w:p w14:paraId="0DC6F203" w14:textId="61544F9E"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7,677 </w:t>
            </w:r>
          </w:p>
        </w:tc>
        <w:tc>
          <w:tcPr>
            <w:tcW w:w="880" w:type="dxa"/>
            <w:tcBorders>
              <w:top w:val="nil"/>
              <w:left w:val="nil"/>
              <w:bottom w:val="nil"/>
              <w:right w:val="nil"/>
            </w:tcBorders>
            <w:shd w:val="clear" w:color="auto" w:fill="auto"/>
            <w:noWrap/>
            <w:vAlign w:val="center"/>
            <w:hideMark/>
          </w:tcPr>
          <w:p w14:paraId="243F27A5" w14:textId="7FB8D30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7,368 </w:t>
            </w:r>
          </w:p>
        </w:tc>
        <w:tc>
          <w:tcPr>
            <w:tcW w:w="880" w:type="dxa"/>
            <w:tcBorders>
              <w:top w:val="nil"/>
              <w:left w:val="nil"/>
              <w:bottom w:val="nil"/>
              <w:right w:val="nil"/>
            </w:tcBorders>
            <w:shd w:val="clear" w:color="auto" w:fill="auto"/>
            <w:noWrap/>
            <w:vAlign w:val="center"/>
            <w:hideMark/>
          </w:tcPr>
          <w:p w14:paraId="25E0B484" w14:textId="0F71576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11,006 </w:t>
            </w:r>
          </w:p>
        </w:tc>
        <w:tc>
          <w:tcPr>
            <w:tcW w:w="880" w:type="dxa"/>
            <w:tcBorders>
              <w:top w:val="nil"/>
              <w:left w:val="nil"/>
              <w:bottom w:val="nil"/>
              <w:right w:val="nil"/>
            </w:tcBorders>
            <w:shd w:val="clear" w:color="auto" w:fill="auto"/>
            <w:noWrap/>
            <w:vAlign w:val="center"/>
            <w:hideMark/>
          </w:tcPr>
          <w:p w14:paraId="387A020C" w14:textId="4045596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7F2EC106" w14:textId="77777777" w:rsidTr="004A7DF3">
        <w:trPr>
          <w:trHeight w:val="330"/>
        </w:trPr>
        <w:tc>
          <w:tcPr>
            <w:tcW w:w="1720" w:type="dxa"/>
            <w:tcBorders>
              <w:top w:val="nil"/>
              <w:left w:val="nil"/>
              <w:bottom w:val="nil"/>
              <w:right w:val="nil"/>
            </w:tcBorders>
            <w:shd w:val="clear" w:color="auto" w:fill="auto"/>
            <w:noWrap/>
            <w:vAlign w:val="center"/>
            <w:hideMark/>
          </w:tcPr>
          <w:p w14:paraId="039E49BB"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외국인지분율(%)</w:t>
            </w:r>
          </w:p>
        </w:tc>
        <w:tc>
          <w:tcPr>
            <w:tcW w:w="880" w:type="dxa"/>
            <w:tcBorders>
              <w:top w:val="nil"/>
              <w:left w:val="nil"/>
              <w:bottom w:val="nil"/>
              <w:right w:val="nil"/>
            </w:tcBorders>
            <w:shd w:val="clear" w:color="auto" w:fill="auto"/>
            <w:noWrap/>
            <w:vAlign w:val="center"/>
            <w:hideMark/>
          </w:tcPr>
          <w:p w14:paraId="6A7F466D" w14:textId="1407F28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12.4 </w:t>
            </w:r>
          </w:p>
        </w:tc>
        <w:tc>
          <w:tcPr>
            <w:tcW w:w="880" w:type="dxa"/>
            <w:tcBorders>
              <w:top w:val="nil"/>
              <w:left w:val="nil"/>
              <w:bottom w:val="nil"/>
              <w:right w:val="nil"/>
            </w:tcBorders>
            <w:shd w:val="clear" w:color="auto" w:fill="auto"/>
            <w:noWrap/>
            <w:vAlign w:val="center"/>
            <w:hideMark/>
          </w:tcPr>
          <w:p w14:paraId="2FBDA5FB" w14:textId="67F744FC"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24.4 </w:t>
            </w:r>
          </w:p>
        </w:tc>
        <w:tc>
          <w:tcPr>
            <w:tcW w:w="880" w:type="dxa"/>
            <w:tcBorders>
              <w:top w:val="nil"/>
              <w:left w:val="nil"/>
              <w:bottom w:val="nil"/>
              <w:right w:val="nil"/>
            </w:tcBorders>
            <w:shd w:val="clear" w:color="auto" w:fill="auto"/>
            <w:noWrap/>
            <w:vAlign w:val="center"/>
            <w:hideMark/>
          </w:tcPr>
          <w:p w14:paraId="1995549E" w14:textId="6C97B87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27.0 </w:t>
            </w:r>
          </w:p>
        </w:tc>
        <w:tc>
          <w:tcPr>
            <w:tcW w:w="880" w:type="dxa"/>
            <w:tcBorders>
              <w:top w:val="nil"/>
              <w:left w:val="nil"/>
              <w:bottom w:val="nil"/>
              <w:right w:val="nil"/>
            </w:tcBorders>
            <w:shd w:val="clear" w:color="auto" w:fill="auto"/>
            <w:noWrap/>
            <w:vAlign w:val="center"/>
            <w:hideMark/>
          </w:tcPr>
          <w:p w14:paraId="10DC015A" w14:textId="71EF76C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38.5 </w:t>
            </w:r>
          </w:p>
        </w:tc>
        <w:tc>
          <w:tcPr>
            <w:tcW w:w="880" w:type="dxa"/>
            <w:tcBorders>
              <w:top w:val="nil"/>
              <w:left w:val="nil"/>
              <w:bottom w:val="nil"/>
              <w:right w:val="nil"/>
            </w:tcBorders>
            <w:shd w:val="clear" w:color="auto" w:fill="auto"/>
            <w:noWrap/>
            <w:vAlign w:val="center"/>
            <w:hideMark/>
          </w:tcPr>
          <w:p w14:paraId="632C85E7" w14:textId="4AD7654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17.7 </w:t>
            </w:r>
          </w:p>
        </w:tc>
        <w:tc>
          <w:tcPr>
            <w:tcW w:w="880" w:type="dxa"/>
            <w:tcBorders>
              <w:top w:val="nil"/>
              <w:left w:val="nil"/>
              <w:bottom w:val="nil"/>
              <w:right w:val="nil"/>
            </w:tcBorders>
            <w:shd w:val="clear" w:color="auto" w:fill="auto"/>
            <w:noWrap/>
            <w:vAlign w:val="center"/>
            <w:hideMark/>
          </w:tcPr>
          <w:p w14:paraId="3E19CF34" w14:textId="369153E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3AACDC50" w14:textId="77777777" w:rsidTr="004A7DF3">
        <w:trPr>
          <w:trHeight w:val="330"/>
        </w:trPr>
        <w:tc>
          <w:tcPr>
            <w:tcW w:w="1720" w:type="dxa"/>
            <w:tcBorders>
              <w:top w:val="nil"/>
              <w:left w:val="nil"/>
              <w:bottom w:val="nil"/>
              <w:right w:val="nil"/>
            </w:tcBorders>
            <w:shd w:val="clear" w:color="auto" w:fill="auto"/>
            <w:noWrap/>
            <w:vAlign w:val="center"/>
            <w:hideMark/>
          </w:tcPr>
          <w:p w14:paraId="3FAFF9CB"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최대주주지분율(%)</w:t>
            </w:r>
          </w:p>
        </w:tc>
        <w:tc>
          <w:tcPr>
            <w:tcW w:w="880" w:type="dxa"/>
            <w:tcBorders>
              <w:top w:val="nil"/>
              <w:left w:val="nil"/>
              <w:bottom w:val="nil"/>
              <w:right w:val="nil"/>
            </w:tcBorders>
            <w:shd w:val="clear" w:color="auto" w:fill="auto"/>
            <w:noWrap/>
            <w:vAlign w:val="center"/>
            <w:hideMark/>
          </w:tcPr>
          <w:p w14:paraId="5D0EA8E7" w14:textId="2742688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24.1 </w:t>
            </w:r>
          </w:p>
        </w:tc>
        <w:tc>
          <w:tcPr>
            <w:tcW w:w="880" w:type="dxa"/>
            <w:tcBorders>
              <w:top w:val="nil"/>
              <w:left w:val="nil"/>
              <w:bottom w:val="nil"/>
              <w:right w:val="nil"/>
            </w:tcBorders>
            <w:shd w:val="clear" w:color="auto" w:fill="auto"/>
            <w:noWrap/>
            <w:vAlign w:val="center"/>
            <w:hideMark/>
          </w:tcPr>
          <w:p w14:paraId="16727CB0" w14:textId="6EDAF350"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34.3 </w:t>
            </w:r>
          </w:p>
        </w:tc>
        <w:tc>
          <w:tcPr>
            <w:tcW w:w="880" w:type="dxa"/>
            <w:tcBorders>
              <w:top w:val="nil"/>
              <w:left w:val="nil"/>
              <w:bottom w:val="nil"/>
              <w:right w:val="nil"/>
            </w:tcBorders>
            <w:shd w:val="clear" w:color="auto" w:fill="auto"/>
            <w:noWrap/>
            <w:vAlign w:val="center"/>
            <w:hideMark/>
          </w:tcPr>
          <w:p w14:paraId="41262C73" w14:textId="258A108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35.6 </w:t>
            </w:r>
          </w:p>
        </w:tc>
        <w:tc>
          <w:tcPr>
            <w:tcW w:w="880" w:type="dxa"/>
            <w:tcBorders>
              <w:top w:val="nil"/>
              <w:left w:val="nil"/>
              <w:bottom w:val="nil"/>
              <w:right w:val="nil"/>
            </w:tcBorders>
            <w:shd w:val="clear" w:color="auto" w:fill="auto"/>
            <w:noWrap/>
            <w:vAlign w:val="center"/>
            <w:hideMark/>
          </w:tcPr>
          <w:p w14:paraId="708420AD" w14:textId="5F82CA0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46.1 </w:t>
            </w:r>
          </w:p>
        </w:tc>
        <w:tc>
          <w:tcPr>
            <w:tcW w:w="880" w:type="dxa"/>
            <w:tcBorders>
              <w:top w:val="nil"/>
              <w:left w:val="nil"/>
              <w:bottom w:val="nil"/>
              <w:right w:val="nil"/>
            </w:tcBorders>
            <w:shd w:val="clear" w:color="auto" w:fill="auto"/>
            <w:noWrap/>
            <w:vAlign w:val="center"/>
            <w:hideMark/>
          </w:tcPr>
          <w:p w14:paraId="17E67214" w14:textId="677FDAB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15.9 </w:t>
            </w:r>
          </w:p>
        </w:tc>
        <w:tc>
          <w:tcPr>
            <w:tcW w:w="880" w:type="dxa"/>
            <w:tcBorders>
              <w:top w:val="nil"/>
              <w:left w:val="nil"/>
              <w:bottom w:val="nil"/>
              <w:right w:val="nil"/>
            </w:tcBorders>
            <w:shd w:val="clear" w:color="auto" w:fill="auto"/>
            <w:noWrap/>
            <w:vAlign w:val="center"/>
            <w:hideMark/>
          </w:tcPr>
          <w:p w14:paraId="7EB32C06" w14:textId="70A12885"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2D354FA6" w14:textId="77777777" w:rsidTr="004A7DF3">
        <w:trPr>
          <w:trHeight w:val="330"/>
        </w:trPr>
        <w:tc>
          <w:tcPr>
            <w:tcW w:w="1720" w:type="dxa"/>
            <w:tcBorders>
              <w:top w:val="nil"/>
              <w:left w:val="nil"/>
              <w:bottom w:val="nil"/>
              <w:right w:val="nil"/>
            </w:tcBorders>
            <w:shd w:val="clear" w:color="auto" w:fill="auto"/>
            <w:noWrap/>
            <w:vAlign w:val="center"/>
            <w:hideMark/>
          </w:tcPr>
          <w:p w14:paraId="148CC5E7"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거래량 회전율(회)</w:t>
            </w:r>
          </w:p>
        </w:tc>
        <w:tc>
          <w:tcPr>
            <w:tcW w:w="880" w:type="dxa"/>
            <w:tcBorders>
              <w:top w:val="nil"/>
              <w:left w:val="nil"/>
              <w:bottom w:val="nil"/>
              <w:right w:val="nil"/>
            </w:tcBorders>
            <w:shd w:val="clear" w:color="auto" w:fill="auto"/>
            <w:noWrap/>
            <w:vAlign w:val="center"/>
            <w:hideMark/>
          </w:tcPr>
          <w:p w14:paraId="7790E46A" w14:textId="1AB7FB46"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0.2 </w:t>
            </w:r>
          </w:p>
        </w:tc>
        <w:tc>
          <w:tcPr>
            <w:tcW w:w="880" w:type="dxa"/>
            <w:tcBorders>
              <w:top w:val="nil"/>
              <w:left w:val="nil"/>
              <w:bottom w:val="nil"/>
              <w:right w:val="nil"/>
            </w:tcBorders>
            <w:shd w:val="clear" w:color="auto" w:fill="auto"/>
            <w:noWrap/>
            <w:vAlign w:val="center"/>
            <w:hideMark/>
          </w:tcPr>
          <w:p w14:paraId="0C97AAE0" w14:textId="7BB7E85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0.4 </w:t>
            </w:r>
          </w:p>
        </w:tc>
        <w:tc>
          <w:tcPr>
            <w:tcW w:w="880" w:type="dxa"/>
            <w:tcBorders>
              <w:top w:val="nil"/>
              <w:left w:val="nil"/>
              <w:bottom w:val="nil"/>
              <w:right w:val="nil"/>
            </w:tcBorders>
            <w:shd w:val="clear" w:color="auto" w:fill="auto"/>
            <w:noWrap/>
            <w:vAlign w:val="center"/>
            <w:hideMark/>
          </w:tcPr>
          <w:p w14:paraId="31830A4C" w14:textId="3955277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0.6 </w:t>
            </w:r>
          </w:p>
        </w:tc>
        <w:tc>
          <w:tcPr>
            <w:tcW w:w="880" w:type="dxa"/>
            <w:tcBorders>
              <w:top w:val="nil"/>
              <w:left w:val="nil"/>
              <w:bottom w:val="nil"/>
              <w:right w:val="nil"/>
            </w:tcBorders>
            <w:shd w:val="clear" w:color="auto" w:fill="auto"/>
            <w:noWrap/>
            <w:vAlign w:val="center"/>
            <w:hideMark/>
          </w:tcPr>
          <w:p w14:paraId="0B2EE4EC" w14:textId="62CECD7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0.7 </w:t>
            </w:r>
          </w:p>
        </w:tc>
        <w:tc>
          <w:tcPr>
            <w:tcW w:w="880" w:type="dxa"/>
            <w:tcBorders>
              <w:top w:val="nil"/>
              <w:left w:val="nil"/>
              <w:bottom w:val="nil"/>
              <w:right w:val="nil"/>
            </w:tcBorders>
            <w:shd w:val="clear" w:color="auto" w:fill="auto"/>
            <w:noWrap/>
            <w:vAlign w:val="center"/>
            <w:hideMark/>
          </w:tcPr>
          <w:p w14:paraId="2110E703" w14:textId="691275E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0.8 </w:t>
            </w:r>
          </w:p>
        </w:tc>
        <w:tc>
          <w:tcPr>
            <w:tcW w:w="880" w:type="dxa"/>
            <w:tcBorders>
              <w:top w:val="nil"/>
              <w:left w:val="nil"/>
              <w:bottom w:val="nil"/>
              <w:right w:val="nil"/>
            </w:tcBorders>
            <w:shd w:val="clear" w:color="auto" w:fill="auto"/>
            <w:noWrap/>
            <w:vAlign w:val="center"/>
            <w:hideMark/>
          </w:tcPr>
          <w:p w14:paraId="207B1730" w14:textId="6412FBDD"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1D6A2B0B" w14:textId="77777777" w:rsidTr="004A7DF3">
        <w:trPr>
          <w:trHeight w:val="330"/>
        </w:trPr>
        <w:tc>
          <w:tcPr>
            <w:tcW w:w="1720" w:type="dxa"/>
            <w:tcBorders>
              <w:top w:val="nil"/>
              <w:left w:val="nil"/>
              <w:bottom w:val="nil"/>
              <w:right w:val="nil"/>
            </w:tcBorders>
            <w:shd w:val="clear" w:color="auto" w:fill="auto"/>
            <w:noWrap/>
            <w:vAlign w:val="center"/>
            <w:hideMark/>
          </w:tcPr>
          <w:p w14:paraId="713D6A85"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시가총액(십억원)</w:t>
            </w:r>
          </w:p>
        </w:tc>
        <w:tc>
          <w:tcPr>
            <w:tcW w:w="880" w:type="dxa"/>
            <w:tcBorders>
              <w:top w:val="nil"/>
              <w:left w:val="nil"/>
              <w:bottom w:val="nil"/>
              <w:right w:val="nil"/>
            </w:tcBorders>
            <w:shd w:val="clear" w:color="auto" w:fill="auto"/>
            <w:noWrap/>
            <w:vAlign w:val="center"/>
            <w:hideMark/>
          </w:tcPr>
          <w:p w14:paraId="5C2C5AA3" w14:textId="2C8DBCF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1,184 </w:t>
            </w:r>
          </w:p>
        </w:tc>
        <w:tc>
          <w:tcPr>
            <w:tcW w:w="880" w:type="dxa"/>
            <w:tcBorders>
              <w:top w:val="nil"/>
              <w:left w:val="nil"/>
              <w:bottom w:val="nil"/>
              <w:right w:val="nil"/>
            </w:tcBorders>
            <w:shd w:val="clear" w:color="auto" w:fill="auto"/>
            <w:noWrap/>
            <w:vAlign w:val="center"/>
            <w:hideMark/>
          </w:tcPr>
          <w:p w14:paraId="2C9E15D4" w14:textId="51A4F327"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2,866 </w:t>
            </w:r>
          </w:p>
        </w:tc>
        <w:tc>
          <w:tcPr>
            <w:tcW w:w="880" w:type="dxa"/>
            <w:tcBorders>
              <w:top w:val="nil"/>
              <w:left w:val="nil"/>
              <w:bottom w:val="nil"/>
              <w:right w:val="nil"/>
            </w:tcBorders>
            <w:shd w:val="clear" w:color="auto" w:fill="auto"/>
            <w:noWrap/>
            <w:vAlign w:val="center"/>
            <w:hideMark/>
          </w:tcPr>
          <w:p w14:paraId="47B82E19" w14:textId="657E3B4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5,932 </w:t>
            </w:r>
          </w:p>
        </w:tc>
        <w:tc>
          <w:tcPr>
            <w:tcW w:w="880" w:type="dxa"/>
            <w:tcBorders>
              <w:top w:val="nil"/>
              <w:left w:val="nil"/>
              <w:bottom w:val="nil"/>
              <w:right w:val="nil"/>
            </w:tcBorders>
            <w:shd w:val="clear" w:color="auto" w:fill="auto"/>
            <w:noWrap/>
            <w:vAlign w:val="center"/>
            <w:hideMark/>
          </w:tcPr>
          <w:p w14:paraId="7FCD44E1" w14:textId="64828C45"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7,344 </w:t>
            </w:r>
          </w:p>
        </w:tc>
        <w:tc>
          <w:tcPr>
            <w:tcW w:w="880" w:type="dxa"/>
            <w:tcBorders>
              <w:top w:val="nil"/>
              <w:left w:val="nil"/>
              <w:bottom w:val="nil"/>
              <w:right w:val="nil"/>
            </w:tcBorders>
            <w:shd w:val="clear" w:color="auto" w:fill="auto"/>
            <w:noWrap/>
            <w:vAlign w:val="center"/>
            <w:hideMark/>
          </w:tcPr>
          <w:p w14:paraId="00D856BD" w14:textId="24EE0291"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10,141 </w:t>
            </w:r>
          </w:p>
        </w:tc>
        <w:tc>
          <w:tcPr>
            <w:tcW w:w="880" w:type="dxa"/>
            <w:tcBorders>
              <w:top w:val="nil"/>
              <w:left w:val="nil"/>
              <w:bottom w:val="nil"/>
              <w:right w:val="nil"/>
            </w:tcBorders>
            <w:shd w:val="clear" w:color="auto" w:fill="auto"/>
            <w:noWrap/>
            <w:vAlign w:val="center"/>
            <w:hideMark/>
          </w:tcPr>
          <w:p w14:paraId="068452D3" w14:textId="4872E42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717674C0" w14:textId="77777777" w:rsidTr="004A7DF3">
        <w:trPr>
          <w:trHeight w:val="330"/>
        </w:trPr>
        <w:tc>
          <w:tcPr>
            <w:tcW w:w="1720" w:type="dxa"/>
            <w:tcBorders>
              <w:top w:val="nil"/>
              <w:left w:val="nil"/>
              <w:bottom w:val="nil"/>
              <w:right w:val="nil"/>
            </w:tcBorders>
            <w:shd w:val="clear" w:color="auto" w:fill="auto"/>
            <w:noWrap/>
            <w:vAlign w:val="center"/>
            <w:hideMark/>
          </w:tcPr>
          <w:p w14:paraId="0D02016D"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존속연수(년)</w:t>
            </w:r>
          </w:p>
        </w:tc>
        <w:tc>
          <w:tcPr>
            <w:tcW w:w="880" w:type="dxa"/>
            <w:tcBorders>
              <w:top w:val="nil"/>
              <w:left w:val="nil"/>
              <w:bottom w:val="nil"/>
              <w:right w:val="nil"/>
            </w:tcBorders>
            <w:shd w:val="clear" w:color="auto" w:fill="auto"/>
            <w:noWrap/>
            <w:vAlign w:val="center"/>
            <w:hideMark/>
          </w:tcPr>
          <w:p w14:paraId="20FD5E2C" w14:textId="68C3B1D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16.0 </w:t>
            </w:r>
          </w:p>
        </w:tc>
        <w:tc>
          <w:tcPr>
            <w:tcW w:w="880" w:type="dxa"/>
            <w:tcBorders>
              <w:top w:val="nil"/>
              <w:left w:val="nil"/>
              <w:bottom w:val="nil"/>
              <w:right w:val="nil"/>
            </w:tcBorders>
            <w:shd w:val="clear" w:color="auto" w:fill="auto"/>
            <w:noWrap/>
            <w:vAlign w:val="center"/>
            <w:hideMark/>
          </w:tcPr>
          <w:p w14:paraId="33127638" w14:textId="0BDE38F0"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33.0 </w:t>
            </w:r>
          </w:p>
        </w:tc>
        <w:tc>
          <w:tcPr>
            <w:tcW w:w="880" w:type="dxa"/>
            <w:tcBorders>
              <w:top w:val="nil"/>
              <w:left w:val="nil"/>
              <w:bottom w:val="nil"/>
              <w:right w:val="nil"/>
            </w:tcBorders>
            <w:shd w:val="clear" w:color="auto" w:fill="auto"/>
            <w:noWrap/>
            <w:vAlign w:val="center"/>
            <w:hideMark/>
          </w:tcPr>
          <w:p w14:paraId="664E1553" w14:textId="5EB6BBDC"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31.2 </w:t>
            </w:r>
          </w:p>
        </w:tc>
        <w:tc>
          <w:tcPr>
            <w:tcW w:w="880" w:type="dxa"/>
            <w:tcBorders>
              <w:top w:val="nil"/>
              <w:left w:val="nil"/>
              <w:bottom w:val="nil"/>
              <w:right w:val="nil"/>
            </w:tcBorders>
            <w:shd w:val="clear" w:color="auto" w:fill="auto"/>
            <w:noWrap/>
            <w:vAlign w:val="center"/>
            <w:hideMark/>
          </w:tcPr>
          <w:p w14:paraId="5C950494" w14:textId="129647EE"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41.0 </w:t>
            </w:r>
          </w:p>
        </w:tc>
        <w:tc>
          <w:tcPr>
            <w:tcW w:w="880" w:type="dxa"/>
            <w:tcBorders>
              <w:top w:val="nil"/>
              <w:left w:val="nil"/>
              <w:bottom w:val="nil"/>
              <w:right w:val="nil"/>
            </w:tcBorders>
            <w:shd w:val="clear" w:color="auto" w:fill="auto"/>
            <w:noWrap/>
            <w:vAlign w:val="center"/>
            <w:hideMark/>
          </w:tcPr>
          <w:p w14:paraId="5BDD87D1" w14:textId="2C0D9B77"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17.8 </w:t>
            </w:r>
          </w:p>
        </w:tc>
        <w:tc>
          <w:tcPr>
            <w:tcW w:w="880" w:type="dxa"/>
            <w:tcBorders>
              <w:top w:val="nil"/>
              <w:left w:val="nil"/>
              <w:bottom w:val="nil"/>
              <w:right w:val="nil"/>
            </w:tcBorders>
            <w:shd w:val="clear" w:color="auto" w:fill="auto"/>
            <w:noWrap/>
            <w:vAlign w:val="center"/>
            <w:hideMark/>
          </w:tcPr>
          <w:p w14:paraId="5CB045E6" w14:textId="4921D7A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689D8A90" w14:textId="77777777" w:rsidTr="004A7DF3">
        <w:trPr>
          <w:trHeight w:val="330"/>
        </w:trPr>
        <w:tc>
          <w:tcPr>
            <w:tcW w:w="1720" w:type="dxa"/>
            <w:tcBorders>
              <w:top w:val="nil"/>
              <w:left w:val="nil"/>
              <w:bottom w:val="nil"/>
              <w:right w:val="nil"/>
            </w:tcBorders>
            <w:shd w:val="clear" w:color="auto" w:fill="auto"/>
            <w:noWrap/>
            <w:vAlign w:val="center"/>
            <w:hideMark/>
          </w:tcPr>
          <w:p w14:paraId="6869CEAD"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토빈의 Q</w:t>
            </w:r>
          </w:p>
        </w:tc>
        <w:tc>
          <w:tcPr>
            <w:tcW w:w="880" w:type="dxa"/>
            <w:tcBorders>
              <w:top w:val="nil"/>
              <w:left w:val="nil"/>
              <w:bottom w:val="nil"/>
              <w:right w:val="nil"/>
            </w:tcBorders>
            <w:shd w:val="clear" w:color="auto" w:fill="auto"/>
            <w:noWrap/>
            <w:vAlign w:val="center"/>
            <w:hideMark/>
          </w:tcPr>
          <w:p w14:paraId="3E2AB676" w14:textId="73DAACDC"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1.0 </w:t>
            </w:r>
          </w:p>
        </w:tc>
        <w:tc>
          <w:tcPr>
            <w:tcW w:w="880" w:type="dxa"/>
            <w:tcBorders>
              <w:top w:val="nil"/>
              <w:left w:val="nil"/>
              <w:bottom w:val="nil"/>
              <w:right w:val="nil"/>
            </w:tcBorders>
            <w:shd w:val="clear" w:color="auto" w:fill="auto"/>
            <w:noWrap/>
            <w:vAlign w:val="center"/>
            <w:hideMark/>
          </w:tcPr>
          <w:p w14:paraId="07A6B120" w14:textId="0A4A357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1.6 </w:t>
            </w:r>
          </w:p>
        </w:tc>
        <w:tc>
          <w:tcPr>
            <w:tcW w:w="880" w:type="dxa"/>
            <w:tcBorders>
              <w:top w:val="nil"/>
              <w:left w:val="nil"/>
              <w:bottom w:val="nil"/>
              <w:right w:val="nil"/>
            </w:tcBorders>
            <w:shd w:val="clear" w:color="auto" w:fill="auto"/>
            <w:noWrap/>
            <w:vAlign w:val="center"/>
            <w:hideMark/>
          </w:tcPr>
          <w:p w14:paraId="20E5CD74" w14:textId="78B9BCC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2.1 </w:t>
            </w:r>
          </w:p>
        </w:tc>
        <w:tc>
          <w:tcPr>
            <w:tcW w:w="880" w:type="dxa"/>
            <w:tcBorders>
              <w:top w:val="nil"/>
              <w:left w:val="nil"/>
              <w:bottom w:val="nil"/>
              <w:right w:val="nil"/>
            </w:tcBorders>
            <w:shd w:val="clear" w:color="auto" w:fill="auto"/>
            <w:noWrap/>
            <w:vAlign w:val="center"/>
            <w:hideMark/>
          </w:tcPr>
          <w:p w14:paraId="2B0790CA" w14:textId="725DD963"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2.4 </w:t>
            </w:r>
          </w:p>
        </w:tc>
        <w:tc>
          <w:tcPr>
            <w:tcW w:w="880" w:type="dxa"/>
            <w:tcBorders>
              <w:top w:val="nil"/>
              <w:left w:val="nil"/>
              <w:bottom w:val="nil"/>
              <w:right w:val="nil"/>
            </w:tcBorders>
            <w:shd w:val="clear" w:color="auto" w:fill="auto"/>
            <w:noWrap/>
            <w:vAlign w:val="center"/>
            <w:hideMark/>
          </w:tcPr>
          <w:p w14:paraId="5C4A7152" w14:textId="12A47944"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1.9 </w:t>
            </w:r>
          </w:p>
        </w:tc>
        <w:tc>
          <w:tcPr>
            <w:tcW w:w="880" w:type="dxa"/>
            <w:tcBorders>
              <w:top w:val="nil"/>
              <w:left w:val="nil"/>
              <w:bottom w:val="nil"/>
              <w:right w:val="nil"/>
            </w:tcBorders>
            <w:shd w:val="clear" w:color="auto" w:fill="auto"/>
            <w:noWrap/>
            <w:vAlign w:val="center"/>
            <w:hideMark/>
          </w:tcPr>
          <w:p w14:paraId="2EEA2BC2" w14:textId="2E1F3D9F"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r w:rsidR="00EC3A86" w:rsidRPr="004A7DF3" w14:paraId="35824285" w14:textId="77777777" w:rsidTr="004A7DF3">
        <w:trPr>
          <w:trHeight w:val="330"/>
        </w:trPr>
        <w:tc>
          <w:tcPr>
            <w:tcW w:w="1720" w:type="dxa"/>
            <w:tcBorders>
              <w:top w:val="nil"/>
              <w:left w:val="nil"/>
              <w:bottom w:val="single" w:sz="4" w:space="0" w:color="auto"/>
              <w:right w:val="nil"/>
            </w:tcBorders>
            <w:shd w:val="clear" w:color="auto" w:fill="auto"/>
            <w:noWrap/>
            <w:vAlign w:val="center"/>
            <w:hideMark/>
          </w:tcPr>
          <w:p w14:paraId="7ED9B563" w14:textId="77777777" w:rsidR="00EC3A86" w:rsidRPr="004A7DF3" w:rsidRDefault="00EC3A86" w:rsidP="00EC3A86">
            <w:pPr>
              <w:spacing w:line="240" w:lineRule="auto"/>
              <w:rPr>
                <w:rFonts w:ascii="HY신명조" w:eastAsia="HY신명조" w:hAnsi="맑은 고딕" w:cs="굴림"/>
                <w:color w:val="000000"/>
                <w:sz w:val="17"/>
                <w:szCs w:val="17"/>
                <w:lang w:val="en-US"/>
              </w:rPr>
            </w:pPr>
            <w:r w:rsidRPr="004A7DF3">
              <w:rPr>
                <w:rFonts w:ascii="HY신명조" w:eastAsia="HY신명조" w:hAnsi="맑은 고딕" w:cs="굴림" w:hint="eastAsia"/>
                <w:color w:val="000000"/>
                <w:sz w:val="17"/>
                <w:szCs w:val="17"/>
                <w:lang w:val="en-US"/>
              </w:rPr>
              <w:t>10년국채금리(%)</w:t>
            </w:r>
          </w:p>
        </w:tc>
        <w:tc>
          <w:tcPr>
            <w:tcW w:w="880" w:type="dxa"/>
            <w:tcBorders>
              <w:top w:val="nil"/>
              <w:left w:val="nil"/>
              <w:bottom w:val="single" w:sz="4" w:space="0" w:color="auto"/>
              <w:right w:val="nil"/>
            </w:tcBorders>
            <w:shd w:val="clear" w:color="auto" w:fill="auto"/>
            <w:noWrap/>
            <w:vAlign w:val="center"/>
            <w:hideMark/>
          </w:tcPr>
          <w:p w14:paraId="01109992" w14:textId="2DBB3CE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4.7 </w:t>
            </w:r>
          </w:p>
        </w:tc>
        <w:tc>
          <w:tcPr>
            <w:tcW w:w="880" w:type="dxa"/>
            <w:tcBorders>
              <w:top w:val="nil"/>
              <w:left w:val="nil"/>
              <w:bottom w:val="single" w:sz="4" w:space="0" w:color="auto"/>
              <w:right w:val="nil"/>
            </w:tcBorders>
            <w:shd w:val="clear" w:color="auto" w:fill="auto"/>
            <w:noWrap/>
            <w:vAlign w:val="center"/>
            <w:hideMark/>
          </w:tcPr>
          <w:p w14:paraId="74E01A3A" w14:textId="7772D2A6"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5.0 </w:t>
            </w:r>
          </w:p>
        </w:tc>
        <w:tc>
          <w:tcPr>
            <w:tcW w:w="880" w:type="dxa"/>
            <w:tcBorders>
              <w:top w:val="nil"/>
              <w:left w:val="nil"/>
              <w:bottom w:val="single" w:sz="4" w:space="0" w:color="auto"/>
              <w:right w:val="nil"/>
            </w:tcBorders>
            <w:shd w:val="clear" w:color="auto" w:fill="auto"/>
            <w:noWrap/>
            <w:vAlign w:val="center"/>
            <w:hideMark/>
          </w:tcPr>
          <w:p w14:paraId="545B1902" w14:textId="546D593A"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4.8 </w:t>
            </w:r>
          </w:p>
        </w:tc>
        <w:tc>
          <w:tcPr>
            <w:tcW w:w="880" w:type="dxa"/>
            <w:tcBorders>
              <w:top w:val="nil"/>
              <w:left w:val="nil"/>
              <w:bottom w:val="single" w:sz="4" w:space="0" w:color="auto"/>
              <w:right w:val="nil"/>
            </w:tcBorders>
            <w:shd w:val="clear" w:color="auto" w:fill="auto"/>
            <w:noWrap/>
            <w:vAlign w:val="center"/>
            <w:hideMark/>
          </w:tcPr>
          <w:p w14:paraId="45DB435C" w14:textId="1159507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5.2 </w:t>
            </w:r>
          </w:p>
        </w:tc>
        <w:tc>
          <w:tcPr>
            <w:tcW w:w="880" w:type="dxa"/>
            <w:tcBorders>
              <w:top w:val="nil"/>
              <w:left w:val="nil"/>
              <w:bottom w:val="single" w:sz="4" w:space="0" w:color="auto"/>
              <w:right w:val="nil"/>
            </w:tcBorders>
            <w:shd w:val="clear" w:color="auto" w:fill="auto"/>
            <w:noWrap/>
            <w:vAlign w:val="center"/>
            <w:hideMark/>
          </w:tcPr>
          <w:p w14:paraId="07B3EDE7" w14:textId="2386C179"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 xml:space="preserve">0.6 </w:t>
            </w:r>
          </w:p>
        </w:tc>
        <w:tc>
          <w:tcPr>
            <w:tcW w:w="880" w:type="dxa"/>
            <w:tcBorders>
              <w:top w:val="nil"/>
              <w:left w:val="nil"/>
              <w:bottom w:val="single" w:sz="4" w:space="0" w:color="auto"/>
              <w:right w:val="nil"/>
            </w:tcBorders>
            <w:shd w:val="clear" w:color="auto" w:fill="auto"/>
            <w:noWrap/>
            <w:vAlign w:val="center"/>
            <w:hideMark/>
          </w:tcPr>
          <w:p w14:paraId="1CBA635A" w14:textId="6E0D6662" w:rsidR="00EC3A86" w:rsidRPr="004A7DF3" w:rsidRDefault="00EC3A86" w:rsidP="00EC3A86">
            <w:pPr>
              <w:spacing w:line="240" w:lineRule="auto"/>
              <w:jc w:val="right"/>
              <w:rPr>
                <w:rFonts w:ascii="HY신명조" w:eastAsia="HY신명조" w:hAnsi="맑은 고딕" w:cs="굴림"/>
                <w:color w:val="000000"/>
                <w:sz w:val="17"/>
                <w:szCs w:val="17"/>
                <w:lang w:val="en-US"/>
              </w:rPr>
            </w:pPr>
            <w:r>
              <w:rPr>
                <w:rFonts w:ascii="HY신명조" w:eastAsia="HY신명조" w:hAnsi="맑은 고딕" w:hint="eastAsia"/>
                <w:color w:val="000000"/>
                <w:sz w:val="17"/>
                <w:szCs w:val="17"/>
              </w:rPr>
              <w:t>586</w:t>
            </w:r>
          </w:p>
        </w:tc>
      </w:tr>
    </w:tbl>
    <w:p w14:paraId="1C78B632" w14:textId="5DF25CC0" w:rsidR="004A7DF3" w:rsidRDefault="004A7DF3" w:rsidP="004A7DF3">
      <w:pPr>
        <w:widowControl w:val="0"/>
        <w:pBdr>
          <w:top w:val="nil"/>
          <w:left w:val="nil"/>
          <w:bottom w:val="nil"/>
          <w:right w:val="nil"/>
          <w:between w:val="nil"/>
        </w:pBdr>
        <w:spacing w:line="420" w:lineRule="auto"/>
        <w:jc w:val="center"/>
        <w:rPr>
          <w:rFonts w:ascii="HY신명조" w:eastAsia="HY신명조" w:hAnsi="나눔고딕" w:cs="나눔고딕"/>
          <w:sz w:val="20"/>
          <w:szCs w:val="20"/>
        </w:rPr>
      </w:pPr>
    </w:p>
    <w:p w14:paraId="3C2C0F4E" w14:textId="77777777" w:rsidR="004A7DF3" w:rsidRDefault="004A7DF3">
      <w:pPr>
        <w:rPr>
          <w:rFonts w:ascii="HY견명조" w:eastAsia="HY견명조" w:hAnsi="나눔고딕" w:cs="나눔고딕"/>
          <w:sz w:val="30"/>
          <w:szCs w:val="30"/>
        </w:rPr>
      </w:pPr>
      <w:r>
        <w:rPr>
          <w:rFonts w:ascii="HY견명조" w:eastAsia="HY견명조" w:hAnsi="나눔고딕" w:cs="나눔고딕"/>
          <w:sz w:val="30"/>
          <w:szCs w:val="30"/>
        </w:rPr>
        <w:br w:type="page"/>
      </w:r>
    </w:p>
    <w:p w14:paraId="18A655CF" w14:textId="1D64B979" w:rsidR="00286A95" w:rsidRPr="007F5E62"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실증 분석 및 분석 결과</w:t>
      </w:r>
    </w:p>
    <w:p w14:paraId="40369913" w14:textId="77777777" w:rsidR="00286A95" w:rsidRPr="007F5E6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7F5E62">
        <w:rPr>
          <w:rFonts w:ascii="HY신명조" w:eastAsia="HY신명조" w:hAnsi="나눔고딕" w:cs="나눔고딕" w:hint="eastAsia"/>
          <w:sz w:val="26"/>
          <w:szCs w:val="26"/>
        </w:rPr>
        <w:t>실증 분석</w:t>
      </w:r>
    </w:p>
    <w:p w14:paraId="099B548F" w14:textId="77777777"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애널리스트의 커버리지가 기업 혁신에 미치는 영향을 측정하기 위해서 아래 모델을 근간으로 패널 회귀분석(Panel OLS)을 진행했다. </w:t>
      </w:r>
    </w:p>
    <w:p w14:paraId="27079F95" w14:textId="77777777" w:rsidR="00286A95" w:rsidRPr="007F5E62" w:rsidRDefault="00286A95" w:rsidP="00C831C9">
      <w:pPr>
        <w:widowControl w:val="0"/>
        <w:spacing w:line="420" w:lineRule="auto"/>
        <w:jc w:val="both"/>
        <w:rPr>
          <w:rFonts w:ascii="HY신명조" w:eastAsia="HY신명조" w:hAnsi="나눔고딕" w:cs="나눔고딕"/>
          <w:sz w:val="20"/>
          <w:szCs w:val="20"/>
        </w:rPr>
      </w:pPr>
    </w:p>
    <w:p w14:paraId="2C3804ED" w14:textId="77777777" w:rsidR="00635865" w:rsidRDefault="00B91AE2"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lpatent</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+3</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α</m:t>
        </m:r>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βl</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γ</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Z</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Year</m:t>
            </m:r>
          </m:e>
          <m:sub>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나눔고딕" w:hint="eastAsia"/>
                <w:sz w:val="20"/>
                <w:szCs w:val="20"/>
              </w:rPr>
              <m:t xml:space="preserve"> </m:t>
            </m:r>
            <m:r>
              <w:rPr>
                <w:rFonts w:ascii="Cambria Math" w:eastAsia="HY신명조" w:hAnsi="Cambria Math" w:cs="Cambria Math"/>
                <w:sz w:val="20"/>
                <w:szCs w:val="20"/>
              </w:rPr>
              <m:t>Company</m:t>
            </m:r>
          </m:e>
          <m:sub>
            <m:r>
              <w:rPr>
                <w:rFonts w:ascii="Cambria Math" w:eastAsia="HY신명조" w:hAnsi="Cambria Math" w:cs="Cambria Math"/>
                <w:sz w:val="20"/>
                <w:szCs w:val="20"/>
              </w:rPr>
              <m:t>i</m:t>
            </m:r>
          </m:sub>
        </m:sSub>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ϵ</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oMath>
      <w:r w:rsidR="00AB7484" w:rsidRPr="007F5E62">
        <w:rPr>
          <w:rFonts w:ascii="HY신명조" w:eastAsia="HY신명조" w:hAnsi="나눔고딕" w:cs="나눔고딕" w:hint="eastAsia"/>
          <w:sz w:val="20"/>
          <w:szCs w:val="20"/>
        </w:rPr>
        <w:tab/>
      </w:r>
    </w:p>
    <w:p w14:paraId="6A81E25B" w14:textId="59159668" w:rsidR="00286A95" w:rsidRPr="007F5E62" w:rsidRDefault="00AB7484" w:rsidP="00C831C9">
      <w:pPr>
        <w:widowControl w:val="0"/>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(i:기업, t:연도)</w:t>
      </w:r>
      <w:r w:rsidRPr="007F5E62">
        <w:rPr>
          <w:rFonts w:ascii="HY신명조" w:eastAsia="HY신명조" w:hAnsi="나눔고딕" w:cs="나눔고딕" w:hint="eastAsia"/>
          <w:sz w:val="20"/>
          <w:szCs w:val="20"/>
        </w:rPr>
        <w:tab/>
      </w:r>
      <w:r w:rsidR="00FA054E" w:rsidRPr="007F5E6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1</w:t>
      </w:r>
      <w:r w:rsidR="00FA054E" w:rsidRPr="007F5E62">
        <w:rPr>
          <w:rFonts w:ascii="HY신명조" w:eastAsia="HY신명조" w:hAnsi="나눔고딕" w:cs="나눔고딕" w:hint="eastAsia"/>
          <w:sz w:val="20"/>
          <w:szCs w:val="20"/>
        </w:rPr>
        <w:t>)</w:t>
      </w:r>
    </w:p>
    <w:p w14:paraId="13D5A4FD" w14:textId="77777777" w:rsidR="00286A95" w:rsidRPr="007F5E6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06272EEB" w14:textId="09238CF1" w:rsidR="00286A95" w:rsidRPr="007F5E62" w:rsidRDefault="00AB7484"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종속변수는 기업별로 등록된 특허 가운데 출원연도를 기준으로 합산한 값에 1을 더하여 자연로그를 적용했다. 기업 혁신은 1년 이상의 시간이 필요하기 때문에 He,</w:t>
      </w:r>
      <w:r w:rsidR="007B7C39">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Tian(2013)</w:t>
      </w:r>
      <w:r w:rsidR="00A530D1" w:rsidRPr="007F5E62">
        <w:rPr>
          <w:rFonts w:ascii="HY신명조" w:eastAsia="HY신명조" w:hAnsi="나눔고딕" w:cs="나눔고딕" w:hint="eastAsia"/>
          <w:sz w:val="20"/>
          <w:szCs w:val="20"/>
        </w:rPr>
        <w:t>에서 제안되었듯이</w:t>
      </w:r>
      <w:r w:rsidRPr="007F5E62">
        <w:rPr>
          <w:rFonts w:ascii="HY신명조" w:eastAsia="HY신명조" w:hAnsi="나눔고딕" w:cs="나눔고딕" w:hint="eastAsia"/>
          <w:sz w:val="20"/>
          <w:szCs w:val="20"/>
        </w:rPr>
        <w:t xml:space="preserve"> 특허 출원연수보다 3년 앞선 애널리스트의 커버리지의 영향력을 측정했다.</w:t>
      </w:r>
      <w:r w:rsidRPr="007F5E62">
        <w:rPr>
          <w:rFonts w:ascii="HY신명조" w:eastAsia="HY신명조" w:hAnsi="나눔고딕" w:cs="나눔고딕" w:hint="eastAsia"/>
          <w:sz w:val="20"/>
          <w:szCs w:val="20"/>
          <w:vertAlign w:val="superscript"/>
        </w:rPr>
        <w:footnoteReference w:id="5"/>
      </w:r>
      <w:r w:rsidRPr="007F5E62">
        <w:rPr>
          <w:rFonts w:ascii="HY신명조" w:eastAsia="HY신명조" w:hAnsi="나눔고딕" w:cs="나눔고딕" w:hint="eastAsia"/>
          <w:sz w:val="20"/>
          <w:szCs w:val="20"/>
        </w:rPr>
        <w:t xml:space="preserve"> lcoverage는 i 기업의 t 회계연도에 애널리스트들이 발행한 보고서를 합산한 후에 1을 더하고  자연로그를 적용했다. Z 변수는 기업의 기술혁신에 영향을 미치는 규모, 재무, 투자, 경기 변수로 포함된 변수</w:t>
      </w:r>
      <w:r w:rsidR="00CA37D2" w:rsidRPr="007F5E62">
        <w:rPr>
          <w:rFonts w:ascii="HY신명조" w:eastAsia="HY신명조" w:hAnsi="나눔고딕" w:cs="나눔고딕" w:hint="eastAsia"/>
          <w:sz w:val="20"/>
          <w:szCs w:val="20"/>
        </w:rPr>
        <w:t>로</w:t>
      </w:r>
      <w:r w:rsidRPr="007F5E62">
        <w:rPr>
          <w:rFonts w:ascii="HY신명조" w:eastAsia="HY신명조" w:hAnsi="나눔고딕" w:cs="나눔고딕" w:hint="eastAsia"/>
          <w:sz w:val="20"/>
          <w:szCs w:val="20"/>
        </w:rPr>
        <w:t xml:space="preserve"> &lt;표1&gt;에 정리했다.</w:t>
      </w:r>
    </w:p>
    <w:p w14:paraId="3656B259" w14:textId="4102404D" w:rsidR="00286A95" w:rsidRPr="007F5E62" w:rsidRDefault="00AB7484" w:rsidP="00136C05">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연구는 먼저 기업의 커버리지 변수 lcoverage와 3년 후 lpatent</w:t>
      </w:r>
      <w:r w:rsidR="00CA37D2" w:rsidRPr="007F5E62">
        <w:rPr>
          <w:rFonts w:ascii="HY신명조" w:eastAsia="HY신명조" w:hAnsi="나눔고딕" w:cs="나눔고딕" w:hint="eastAsia"/>
          <w:sz w:val="20"/>
          <w:szCs w:val="20"/>
        </w:rPr>
        <w:t>의</w:t>
      </w:r>
      <w:r w:rsidRPr="007F5E62">
        <w:rPr>
          <w:rFonts w:ascii="HY신명조" w:eastAsia="HY신명조" w:hAnsi="나눔고딕" w:cs="나눔고딕" w:hint="eastAsia"/>
          <w:sz w:val="20"/>
          <w:szCs w:val="20"/>
        </w:rPr>
        <w:t xml:space="preserve"> 단순 회귀분석(Pooled OLS)을 진행했다. 그 결과 애널리스트 커버리지가 1% 증가할 때 등록된 특허수가 67.4%(P-Value &lt; 0.01) 증가하는 유의미한 결과가 도출되었다. 그러나 단순 회귀분석은 추정 편의가 발생하기 때문에 패널 분석의 고정효과 모형(Fixed effects)에 다양한 통제 변수를 추가하여 검증했다. &lt;표</w:t>
      </w:r>
      <w:r w:rsidR="007B7C39">
        <w:rPr>
          <w:rFonts w:ascii="HY신명조" w:eastAsia="HY신명조" w:hAnsi="나눔고딕" w:cs="나눔고딕" w:hint="eastAsia"/>
          <w:sz w:val="20"/>
          <w:szCs w:val="20"/>
        </w:rPr>
        <w:t>3</w:t>
      </w:r>
      <w:r w:rsidRPr="007F5E62">
        <w:rPr>
          <w:rFonts w:ascii="HY신명조" w:eastAsia="HY신명조" w:hAnsi="나눔고딕" w:cs="나눔고딕" w:hint="eastAsia"/>
          <w:sz w:val="20"/>
          <w:szCs w:val="20"/>
        </w:rPr>
        <w:t xml:space="preserve">&gt;의 첫 열(1)은 고정효과를 고려한 패널 OLS 결과로 lcoverage의 계수는 +0.281로 1% 수준에서 유의하다. 두번째 열(2)은 기업의 규모와 관련된 변수(임직원수, 총자산, 시가총액)의 효과를 통제할 경우 lcoverage의 계수가 +0.186(P-value &lt; </w:t>
      </w:r>
      <w:r w:rsidRPr="007F5E62">
        <w:rPr>
          <w:rFonts w:ascii="HY신명조" w:eastAsia="HY신명조" w:hAnsi="나눔고딕" w:cs="나눔고딕" w:hint="eastAsia"/>
          <w:sz w:val="20"/>
          <w:szCs w:val="20"/>
        </w:rPr>
        <w:lastRenderedPageBreak/>
        <w:t>0.01)으로 감소했다. 임직원수와 특허수는 역의 관계로 유민화, 박중구(2006)</w:t>
      </w:r>
      <w:r w:rsidR="00CA37D2" w:rsidRPr="007F5E62">
        <w:rPr>
          <w:rFonts w:ascii="HY신명조" w:eastAsia="HY신명조" w:hAnsi="나눔고딕" w:cs="나눔고딕" w:hint="eastAsia"/>
          <w:sz w:val="20"/>
          <w:szCs w:val="20"/>
        </w:rPr>
        <w:t>의 연구</w:t>
      </w:r>
      <w:r w:rsidRPr="007F5E62">
        <w:rPr>
          <w:rFonts w:ascii="HY신명조" w:eastAsia="HY신명조" w:hAnsi="나눔고딕" w:cs="나눔고딕" w:hint="eastAsia"/>
          <w:sz w:val="20"/>
          <w:szCs w:val="20"/>
        </w:rPr>
        <w:t>에서 종업원이 많은 대기업일수록 자체 연구개발에 소극적</w:t>
      </w:r>
      <w:r w:rsidR="00CA37D2" w:rsidRPr="007F5E62">
        <w:rPr>
          <w:rFonts w:ascii="HY신명조" w:eastAsia="HY신명조" w:hAnsi="나눔고딕" w:cs="나눔고딕" w:hint="eastAsia"/>
          <w:sz w:val="20"/>
          <w:szCs w:val="20"/>
        </w:rPr>
        <w:t>이라는</w:t>
      </w:r>
      <w:r w:rsidRPr="007F5E62">
        <w:rPr>
          <w:rFonts w:ascii="HY신명조" w:eastAsia="HY신명조" w:hAnsi="나눔고딕" w:cs="나눔고딕" w:hint="eastAsia"/>
          <w:sz w:val="20"/>
          <w:szCs w:val="20"/>
        </w:rPr>
        <w:t xml:space="preserve"> 주장을 지지한다. 한편 기술혁신을 하기 위해서는 많은 비용이 투입되기 때문에 기업의 규모가 중요하고 총자산과 시가총액 변수와 특허수의 계수는 양의 관계로 유의미한 결과가 도출되었다. </w:t>
      </w:r>
    </w:p>
    <w:p w14:paraId="3704C1E5" w14:textId="2CDA9A04"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color w:val="222222"/>
          <w:sz w:val="20"/>
          <w:szCs w:val="20"/>
        </w:rPr>
      </w:pPr>
      <w:r w:rsidRPr="007F5E62">
        <w:rPr>
          <w:rFonts w:ascii="HY신명조" w:eastAsia="HY신명조" w:hAnsi="나눔고딕" w:cs="나눔고딕" w:hint="eastAsia"/>
          <w:sz w:val="20"/>
          <w:szCs w:val="20"/>
        </w:rPr>
        <w:t>한편 재무관련 부채비율, 순부채비율의 영향력은 유의미한 결과가 나오지 않은 반면 회사의 존속연수(Hadlock, Pierce, 2010)는 토빈의 Q와 금리 변수를 함께 통제했을 때 1년 증가할 때 특허수가 +4.6% 증가하는 유의미한 결과(표</w:t>
      </w:r>
      <w:r w:rsidR="007B7C39">
        <w:rPr>
          <w:rFonts w:ascii="HY신명조" w:eastAsia="HY신명조" w:hAnsi="나눔고딕" w:cs="나눔고딕" w:hint="eastAsia"/>
          <w:sz w:val="20"/>
          <w:szCs w:val="20"/>
        </w:rPr>
        <w:t>3</w:t>
      </w:r>
      <w:r w:rsidRPr="007F5E62">
        <w:rPr>
          <w:rFonts w:ascii="HY신명조" w:eastAsia="HY신명조" w:hAnsi="나눔고딕" w:cs="나눔고딕" w:hint="eastAsia"/>
          <w:sz w:val="20"/>
          <w:szCs w:val="20"/>
        </w:rPr>
        <w:t>의 4열)가 도출되었다. 한편 외국인의 지분율과 주식의 유동성은 음의 계수가 최대주주의 지분율은 양의 계수가 도출되었다. 외국인 지분이 1%p 증가할 때 특허수가 -1.</w:t>
      </w:r>
      <w:r w:rsidR="007B7C39">
        <w:rPr>
          <w:rFonts w:ascii="HY신명조" w:eastAsia="HY신명조" w:hAnsi="나눔고딕" w:cs="나눔고딕" w:hint="eastAsia"/>
          <w:sz w:val="20"/>
          <w:szCs w:val="20"/>
        </w:rPr>
        <w:t>5</w:t>
      </w:r>
      <w:r w:rsidRPr="007F5E62">
        <w:rPr>
          <w:rFonts w:ascii="HY신명조" w:eastAsia="HY신명조" w:hAnsi="나눔고딕" w:cs="나눔고딕" w:hint="eastAsia"/>
          <w:sz w:val="20"/>
          <w:szCs w:val="20"/>
        </w:rPr>
        <w:t xml:space="preserve">% 유의미하게 감소(3열)했다. </w:t>
      </w:r>
      <w:r w:rsidRPr="007F5E62">
        <w:rPr>
          <w:rFonts w:ascii="HY신명조" w:eastAsia="HY신명조" w:hAnsi="나눔고딕" w:cs="나눔고딕" w:hint="eastAsia"/>
          <w:color w:val="222222"/>
          <w:sz w:val="20"/>
          <w:szCs w:val="20"/>
        </w:rPr>
        <w:t>김범조, 이동기, 조영곤(2017)는 벤처 기업의 경우 외국인 지분율이 연구 개발과 양의 유의미한 결과가 나왔으나 본 연구</w:t>
      </w:r>
      <w:r w:rsidR="00EF138A" w:rsidRPr="007F5E62">
        <w:rPr>
          <w:rFonts w:ascii="HY신명조" w:eastAsia="HY신명조" w:hAnsi="나눔고딕" w:cs="나눔고딕" w:hint="eastAsia"/>
          <w:color w:val="222222"/>
          <w:sz w:val="20"/>
          <w:szCs w:val="20"/>
        </w:rPr>
        <w:t>는 KOSPI200</w:t>
      </w:r>
      <w:r w:rsidR="00335754" w:rsidRPr="007F5E62">
        <w:rPr>
          <w:rFonts w:ascii="HY신명조" w:eastAsia="HY신명조" w:hAnsi="나눔고딕" w:cs="나눔고딕" w:hint="eastAsia"/>
          <w:color w:val="222222"/>
          <w:sz w:val="20"/>
          <w:szCs w:val="20"/>
        </w:rPr>
        <w:t xml:space="preserve"> 내 애널리스트가 커버하는 상장 기업의 실증연구로 대기업 비중</w:t>
      </w:r>
      <w:r w:rsidR="00CA37D2" w:rsidRPr="007F5E62">
        <w:rPr>
          <w:rFonts w:ascii="HY신명조" w:eastAsia="HY신명조" w:hAnsi="나눔고딕" w:cs="나눔고딕" w:hint="eastAsia"/>
          <w:color w:val="222222"/>
          <w:sz w:val="20"/>
          <w:szCs w:val="20"/>
        </w:rPr>
        <w:t>(총자산 평균 9조원)</w:t>
      </w:r>
      <w:r w:rsidR="00335754" w:rsidRPr="007F5E62">
        <w:rPr>
          <w:rFonts w:ascii="HY신명조" w:eastAsia="HY신명조" w:hAnsi="나눔고딕" w:cs="나눔고딕" w:hint="eastAsia"/>
          <w:color w:val="222222"/>
          <w:sz w:val="20"/>
          <w:szCs w:val="20"/>
        </w:rPr>
        <w:t xml:space="preserve">이 높기 때문에 </w:t>
      </w:r>
      <w:r w:rsidRPr="007F5E62">
        <w:rPr>
          <w:rFonts w:ascii="HY신명조" w:eastAsia="HY신명조" w:hAnsi="나눔고딕" w:cs="나눔고딕" w:hint="eastAsia"/>
          <w:color w:val="222222"/>
          <w:sz w:val="20"/>
          <w:szCs w:val="20"/>
        </w:rPr>
        <w:t>상반된 결과가 도출되었다. 주식의 유동성은 유의미하진 않았지만 Fang,</w:t>
      </w:r>
      <w:r w:rsidR="00795FD9">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Tian,</w:t>
      </w:r>
      <w:r w:rsidR="00795FD9">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 xml:space="preserve">Tice(2014)에서 주식의 유동성이 </w:t>
      </w:r>
      <w:r w:rsidR="00CA37D2" w:rsidRPr="007F5E62">
        <w:rPr>
          <w:rFonts w:ascii="HY신명조" w:eastAsia="HY신명조" w:hAnsi="나눔고딕" w:cs="나눔고딕" w:hint="eastAsia"/>
          <w:color w:val="222222"/>
          <w:sz w:val="20"/>
          <w:szCs w:val="20"/>
        </w:rPr>
        <w:t>기술</w:t>
      </w:r>
      <w:r w:rsidRPr="007F5E62">
        <w:rPr>
          <w:rFonts w:ascii="HY신명조" w:eastAsia="HY신명조" w:hAnsi="나눔고딕" w:cs="나눔고딕" w:hint="eastAsia"/>
          <w:color w:val="222222"/>
          <w:sz w:val="20"/>
          <w:szCs w:val="20"/>
        </w:rPr>
        <w:t>혁신을 저해한다는 결과처럼 특허수와 음의 계수가 나타났다. 끝으로 국내</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10년</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 xml:space="preserve">국채금리는 유의미하게 양의 계수, 토빈의 Q는 유의미하지는 않지만 음의 계수가 </w:t>
      </w:r>
      <w:r w:rsidR="00CA37D2" w:rsidRPr="007F5E62">
        <w:rPr>
          <w:rFonts w:ascii="HY신명조" w:eastAsia="HY신명조" w:hAnsi="나눔고딕" w:cs="나눔고딕" w:hint="eastAsia"/>
          <w:color w:val="222222"/>
          <w:sz w:val="20"/>
          <w:szCs w:val="20"/>
        </w:rPr>
        <w:t>도출</w:t>
      </w:r>
      <w:r w:rsidRPr="007F5E62">
        <w:rPr>
          <w:rFonts w:ascii="HY신명조" w:eastAsia="HY신명조" w:hAnsi="나눔고딕" w:cs="나눔고딕" w:hint="eastAsia"/>
          <w:color w:val="222222"/>
          <w:sz w:val="20"/>
          <w:szCs w:val="20"/>
        </w:rPr>
        <w:t>되었다. 금리 상승이 이자 부담을 증가시키지만 금리가 경기를 강력히 반영하기 때문에 경기가 호황일수록 연구개발이 증가한다는 선행연구</w:t>
      </w:r>
      <w:r w:rsidR="007655F0">
        <w:rPr>
          <w:rFonts w:ascii="HY신명조" w:eastAsia="HY신명조" w:hAnsi="나눔고딕" w:cs="나눔고딕" w:hint="eastAsia"/>
          <w:color w:val="222222"/>
          <w:sz w:val="20"/>
          <w:szCs w:val="20"/>
        </w:rPr>
        <w:t>(</w:t>
      </w:r>
      <w:r w:rsidRPr="007F5E62">
        <w:rPr>
          <w:rFonts w:ascii="HY신명조" w:eastAsia="HY신명조" w:hAnsi="나눔고딕" w:cs="나눔고딕" w:hint="eastAsia"/>
          <w:color w:val="222222"/>
          <w:sz w:val="20"/>
          <w:szCs w:val="20"/>
        </w:rPr>
        <w:t>오준병, 이선영</w:t>
      </w:r>
      <w:r w:rsidR="007655F0">
        <w:rPr>
          <w:rFonts w:ascii="HY신명조" w:eastAsia="HY신명조" w:hAnsi="나눔고딕" w:cs="나눔고딕" w:hint="eastAsia"/>
          <w:color w:val="222222"/>
          <w:sz w:val="20"/>
          <w:szCs w:val="20"/>
        </w:rPr>
        <w:t>,</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2020</w:t>
      </w:r>
      <w:r w:rsidR="007655F0">
        <w:rPr>
          <w:rFonts w:ascii="HY신명조" w:eastAsia="HY신명조" w:hAnsi="나눔고딕" w:cs="나눔고딕" w:hint="eastAsia"/>
          <w:color w:val="222222"/>
          <w:sz w:val="20"/>
          <w:szCs w:val="20"/>
        </w:rPr>
        <w:t>;</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Martinsson,</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L</w:t>
      </w:r>
      <w:r w:rsidRPr="007F5E62">
        <w:rPr>
          <w:rFonts w:ascii="HY신명조" w:eastAsia="HY신명조" w:hAnsi="나눔고딕" w:cs="나눔고딕" w:hint="eastAsia"/>
          <w:color w:val="222222"/>
          <w:sz w:val="20"/>
          <w:szCs w:val="20"/>
        </w:rPr>
        <w:t>öö</w:t>
      </w:r>
      <w:r w:rsidRPr="007F5E62">
        <w:rPr>
          <w:rFonts w:ascii="HY신명조" w:eastAsia="HY신명조" w:hAnsi="나눔고딕" w:cs="나눔고딕" w:hint="eastAsia"/>
          <w:color w:val="222222"/>
          <w:sz w:val="20"/>
          <w:szCs w:val="20"/>
        </w:rPr>
        <w:t>f</w:t>
      </w:r>
      <w:r w:rsidR="007655F0">
        <w:rPr>
          <w:rFonts w:ascii="HY신명조" w:eastAsia="HY신명조" w:hAnsi="나눔고딕" w:cs="나눔고딕" w:hint="eastAsia"/>
          <w:color w:val="222222"/>
          <w:sz w:val="20"/>
          <w:szCs w:val="20"/>
        </w:rPr>
        <w:t>,</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2009</w:t>
      </w:r>
      <w:r w:rsidR="007655F0">
        <w:rPr>
          <w:rFonts w:ascii="HY신명조" w:eastAsia="HY신명조" w:hAnsi="나눔고딕" w:cs="나눔고딕" w:hint="eastAsia"/>
          <w:color w:val="222222"/>
          <w:sz w:val="20"/>
          <w:szCs w:val="20"/>
        </w:rPr>
        <w:t>;</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 xml:space="preserve">Hadlock, Pierce </w:t>
      </w:r>
      <w:r w:rsidR="007655F0">
        <w:rPr>
          <w:rFonts w:ascii="HY신명조" w:eastAsia="HY신명조" w:hAnsi="나눔고딕" w:cs="나눔고딕" w:hint="eastAsia"/>
          <w:color w:val="222222"/>
          <w:sz w:val="20"/>
          <w:szCs w:val="20"/>
        </w:rPr>
        <w:t>,</w:t>
      </w:r>
      <w:r w:rsidR="00242107">
        <w:rPr>
          <w:rFonts w:ascii="HY신명조" w:eastAsia="HY신명조" w:hAnsi="나눔고딕" w:cs="나눔고딕" w:hint="eastAsia"/>
          <w:color w:val="222222"/>
          <w:sz w:val="20"/>
          <w:szCs w:val="20"/>
        </w:rPr>
        <w:t xml:space="preserve"> </w:t>
      </w:r>
      <w:r w:rsidRPr="007F5E62">
        <w:rPr>
          <w:rFonts w:ascii="HY신명조" w:eastAsia="HY신명조" w:hAnsi="나눔고딕" w:cs="나눔고딕" w:hint="eastAsia"/>
          <w:color w:val="222222"/>
          <w:sz w:val="20"/>
          <w:szCs w:val="20"/>
        </w:rPr>
        <w:t>2010)을 지지하는 결과이다.</w:t>
      </w:r>
    </w:p>
    <w:p w14:paraId="69665CC3" w14:textId="1F975075" w:rsidR="00286A95" w:rsidRPr="007F5E62" w:rsidRDefault="00AB7484" w:rsidP="00B62EC3">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color w:val="222222"/>
          <w:sz w:val="20"/>
          <w:szCs w:val="20"/>
        </w:rPr>
        <w:t>혁신과 관련성이 높은 변수와 함께 회귀분석을 진행한 결과(표</w:t>
      </w:r>
      <w:r w:rsidR="00335754" w:rsidRPr="007F5E62">
        <w:rPr>
          <w:rFonts w:ascii="HY신명조" w:eastAsia="HY신명조" w:hAnsi="나눔고딕" w:cs="나눔고딕" w:hint="eastAsia"/>
          <w:color w:val="222222"/>
          <w:sz w:val="20"/>
          <w:szCs w:val="20"/>
        </w:rPr>
        <w:t>3</w:t>
      </w:r>
      <w:r w:rsidRPr="007F5E62">
        <w:rPr>
          <w:rFonts w:ascii="HY신명조" w:eastAsia="HY신명조" w:hAnsi="나눔고딕" w:cs="나눔고딕" w:hint="eastAsia"/>
          <w:color w:val="222222"/>
          <w:sz w:val="20"/>
          <w:szCs w:val="20"/>
        </w:rPr>
        <w:t>, 4열) 회사 규모가 크고 존속연수가 긴 기업이 유의미하게 더 많은 혁신의 결과물을 산출했다. 반면 외국인 지분율이 증가할수록 그 산출물이 감소하는 것으로 나타났다. 최종 모델의 검증 결과(표</w:t>
      </w:r>
      <w:r w:rsidR="00CA37D2" w:rsidRPr="007F5E62">
        <w:rPr>
          <w:rFonts w:ascii="HY신명조" w:eastAsia="HY신명조" w:hAnsi="나눔고딕" w:cs="나눔고딕" w:hint="eastAsia"/>
          <w:color w:val="222222"/>
          <w:sz w:val="20"/>
          <w:szCs w:val="20"/>
        </w:rPr>
        <w:t>3</w:t>
      </w:r>
      <w:r w:rsidRPr="007F5E62">
        <w:rPr>
          <w:rFonts w:ascii="HY신명조" w:eastAsia="HY신명조" w:hAnsi="나눔고딕" w:cs="나눔고딕" w:hint="eastAsia"/>
          <w:color w:val="222222"/>
          <w:sz w:val="20"/>
          <w:szCs w:val="20"/>
        </w:rPr>
        <w:t xml:space="preserve">, 4열) 애널리스트의 커버리지가 +1% 증가할 때 혁신의 결과물인 특허수가 유의수준 </w:t>
      </w:r>
      <w:r w:rsidR="0020021F">
        <w:rPr>
          <w:rFonts w:ascii="HY신명조" w:eastAsia="HY신명조" w:hAnsi="나눔고딕" w:cs="나눔고딕" w:hint="eastAsia"/>
          <w:color w:val="222222"/>
          <w:sz w:val="20"/>
          <w:szCs w:val="20"/>
        </w:rPr>
        <w:t>5</w:t>
      </w:r>
      <w:r w:rsidRPr="007F5E62">
        <w:rPr>
          <w:rFonts w:ascii="HY신명조" w:eastAsia="HY신명조" w:hAnsi="나눔고딕" w:cs="나눔고딕" w:hint="eastAsia"/>
          <w:color w:val="222222"/>
          <w:sz w:val="20"/>
          <w:szCs w:val="20"/>
        </w:rPr>
        <w:t xml:space="preserve">%에서 +10.2% 유의미하게 증가하는 결과가 </w:t>
      </w:r>
      <w:r w:rsidRPr="007F5E62">
        <w:rPr>
          <w:rFonts w:ascii="HY신명조" w:eastAsia="HY신명조" w:hAnsi="나눔고딕" w:cs="나눔고딕" w:hint="eastAsia"/>
          <w:color w:val="222222"/>
          <w:sz w:val="20"/>
          <w:szCs w:val="20"/>
        </w:rPr>
        <w:lastRenderedPageBreak/>
        <w:t xml:space="preserve">산출되었다. 이 결과는 미국 상장 기업을 대상으로 연구를 진행한 </w:t>
      </w:r>
      <w:r w:rsidRPr="007F5E62">
        <w:rPr>
          <w:rFonts w:ascii="HY신명조" w:eastAsia="HY신명조" w:hAnsi="나눔고딕" w:cs="나눔고딕" w:hint="eastAsia"/>
          <w:sz w:val="20"/>
          <w:szCs w:val="20"/>
        </w:rPr>
        <w:t>He,</w:t>
      </w:r>
      <w:r w:rsidR="00756D3F">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Tian(2013) 결과(커버리지 +1% 증가할 때 특허수가 -5.2% 감소)와 반대이다. 한국과 미국의 산업, 주식 환경이 상이하기 때문에 나타난 결과로 판단된다. </w:t>
      </w:r>
    </w:p>
    <w:p w14:paraId="17018D11" w14:textId="67A2D392"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본 연구 결과의 강건성을 확인하기 위해 추가적으로 애널리스트 커버리지의 내생성</w:t>
      </w:r>
      <w:r w:rsidR="00C73EA7" w:rsidRPr="007F5E62">
        <w:rPr>
          <w:rFonts w:ascii="HY신명조" w:eastAsia="HY신명조" w:hAnsi="나눔고딕" w:cs="나눔고딕" w:hint="eastAsia"/>
          <w:sz w:val="20"/>
          <w:szCs w:val="20"/>
        </w:rPr>
        <w:t>을</w:t>
      </w:r>
      <w:r w:rsidRPr="007F5E62">
        <w:rPr>
          <w:rFonts w:ascii="HY신명조" w:eastAsia="HY신명조" w:hAnsi="나눔고딕" w:cs="나눔고딕" w:hint="eastAsia"/>
          <w:sz w:val="20"/>
          <w:szCs w:val="20"/>
        </w:rPr>
        <w:t xml:space="preserve"> 검증한다. 선행연구에서 나타난 애널리스트 커버리지의 도구변수를 국내 환경에 맞게 산출하여 2단계 최소제곱법(2SLS)을 진행했다.</w:t>
      </w:r>
    </w:p>
    <w:p w14:paraId="73482EA1" w14:textId="2B3B7F16" w:rsidR="00AB2546" w:rsidRDefault="00AB2546" w:rsidP="003671AD">
      <w:pPr>
        <w:spacing w:line="420" w:lineRule="auto"/>
        <w:jc w:val="center"/>
        <w:rPr>
          <w:rFonts w:ascii="HY신명조" w:eastAsia="HY신명조" w:hAnsi="나눔고딕" w:cs="나눔고딕"/>
          <w:sz w:val="20"/>
          <w:szCs w:val="20"/>
        </w:rPr>
      </w:pPr>
      <w:r w:rsidRPr="007F5E62">
        <w:rPr>
          <w:rFonts w:ascii="HY신명조" w:eastAsia="HY신명조" w:hint="eastAsia"/>
          <w:sz w:val="20"/>
          <w:szCs w:val="20"/>
        </w:rPr>
        <w:br w:type="page"/>
      </w:r>
      <w:r w:rsidR="003671AD" w:rsidRPr="007F5E62">
        <w:rPr>
          <w:rFonts w:ascii="HY신명조" w:eastAsia="HY신명조" w:hAnsi="나눔고딕" w:cs="나눔고딕" w:hint="eastAsia"/>
          <w:sz w:val="20"/>
          <w:szCs w:val="20"/>
        </w:rPr>
        <w:lastRenderedPageBreak/>
        <w:t>&lt;표</w:t>
      </w:r>
      <w:r w:rsidR="00DF7044">
        <w:rPr>
          <w:rFonts w:ascii="HY신명조" w:eastAsia="HY신명조" w:hAnsi="나눔고딕" w:cs="나눔고딕" w:hint="eastAsia"/>
          <w:sz w:val="20"/>
          <w:szCs w:val="20"/>
        </w:rPr>
        <w:t xml:space="preserve"> </w:t>
      </w:r>
      <w:r w:rsidR="003671AD" w:rsidRPr="007F5E62">
        <w:rPr>
          <w:rFonts w:ascii="HY신명조" w:eastAsia="HY신명조" w:hAnsi="나눔고딕" w:cs="나눔고딕" w:hint="eastAsia"/>
          <w:sz w:val="20"/>
          <w:szCs w:val="20"/>
        </w:rPr>
        <w:t>3&gt; 기업 혁신의 결과물에 대한 애널리스트 커버리지의 회귀분석 결과</w:t>
      </w:r>
    </w:p>
    <w:p w14:paraId="69B31E6D" w14:textId="5CD27D51" w:rsidR="003671AD" w:rsidRDefault="003671AD" w:rsidP="003671AD">
      <w:pPr>
        <w:widowControl w:val="0"/>
        <w:spacing w:line="420" w:lineRule="auto"/>
        <w:jc w:val="both"/>
        <w:rPr>
          <w:rFonts w:ascii="HY신명조" w:eastAsia="HY신명조" w:hAnsi="나눔고딕" w:cs="나눔고딕"/>
          <w:sz w:val="17"/>
          <w:szCs w:val="17"/>
        </w:rPr>
      </w:pPr>
      <w:r w:rsidRPr="003671AD">
        <w:rPr>
          <w:rFonts w:ascii="HY신명조" w:eastAsia="HY신명조" w:hAnsi="나눔고딕" w:cs="나눔고딕" w:hint="eastAsia"/>
          <w:sz w:val="17"/>
          <w:szCs w:val="17"/>
        </w:rPr>
        <w:t>이 표는 종속변수인 기업 혁신의 결과물(특허 등록 연도+3년)의 설명 변수인 애널리스트 커버리지 변수와 기타 통제변수의 회귀분석 결과임. 각 변수의 정의는 앞으로 표1에서 설명함</w:t>
      </w:r>
      <w:r>
        <w:rPr>
          <w:rFonts w:ascii="HY신명조" w:eastAsia="HY신명조" w:hAnsi="나눔고딕" w:cs="나눔고딕" w:hint="eastAsia"/>
          <w:sz w:val="17"/>
          <w:szCs w:val="17"/>
        </w:rPr>
        <w:t>.</w:t>
      </w:r>
      <w:r>
        <w:rPr>
          <w:rFonts w:ascii="HY신명조" w:eastAsia="HY신명조" w:hAnsi="나눔고딕" w:cs="나눔고딕"/>
          <w:sz w:val="17"/>
          <w:szCs w:val="17"/>
        </w:rPr>
        <w:t xml:space="preserve"> </w:t>
      </w:r>
      <w:r w:rsidRPr="0038102F">
        <w:rPr>
          <w:rFonts w:ascii="HY신명조" w:eastAsia="HY신명조" w:hAnsi="나눔고딕" w:cs="나눔고딕"/>
          <w:sz w:val="17"/>
          <w:szCs w:val="17"/>
          <w:vertAlign w:val="superscript"/>
        </w:rPr>
        <w:t>***</w:t>
      </w:r>
      <w:r>
        <w:rPr>
          <w:rFonts w:ascii="HY신명조" w:eastAsia="HY신명조" w:hAnsi="나눔고딕" w:cs="나눔고딕" w:hint="eastAsia"/>
          <w:sz w:val="17"/>
          <w:szCs w:val="17"/>
        </w:rPr>
        <w:t>,</w:t>
      </w:r>
      <w:r>
        <w:rPr>
          <w:rFonts w:ascii="HY신명조" w:eastAsia="HY신명조" w:hAnsi="나눔고딕" w:cs="나눔고딕"/>
          <w:sz w:val="17"/>
          <w:szCs w:val="17"/>
        </w:rPr>
        <w:t xml:space="preserve"> </w:t>
      </w:r>
      <w:r w:rsidRPr="0038102F">
        <w:rPr>
          <w:rFonts w:ascii="HY신명조" w:eastAsia="HY신명조" w:hAnsi="나눔고딕" w:cs="나눔고딕"/>
          <w:sz w:val="17"/>
          <w:szCs w:val="17"/>
          <w:vertAlign w:val="superscript"/>
        </w:rPr>
        <w:t>**</w:t>
      </w:r>
      <w:r>
        <w:rPr>
          <w:rFonts w:ascii="HY신명조" w:eastAsia="HY신명조" w:hAnsi="나눔고딕" w:cs="나눔고딕" w:hint="eastAsia"/>
          <w:sz w:val="17"/>
          <w:szCs w:val="17"/>
        </w:rPr>
        <w:t>,</w:t>
      </w:r>
      <w:r w:rsidRPr="003671AD">
        <w:rPr>
          <w:rFonts w:ascii="HY신명조" w:eastAsia="HY신명조" w:hAnsi="나눔고딕" w:cs="나눔고딕"/>
          <w:sz w:val="17"/>
          <w:szCs w:val="17"/>
        </w:rPr>
        <w:t xml:space="preserve"> </w:t>
      </w:r>
      <w:r w:rsidRPr="0038102F">
        <w:rPr>
          <w:rFonts w:ascii="HY신명조" w:eastAsia="HY신명조" w:hAnsi="나눔고딕" w:cs="나눔고딕"/>
          <w:sz w:val="17"/>
          <w:szCs w:val="17"/>
          <w:vertAlign w:val="superscript"/>
        </w:rPr>
        <w:t>*</w:t>
      </w:r>
      <w:r>
        <w:rPr>
          <w:rFonts w:ascii="HY신명조" w:eastAsia="HY신명조" w:hAnsi="나눔고딕" w:cs="나눔고딕"/>
          <w:sz w:val="17"/>
          <w:szCs w:val="17"/>
        </w:rPr>
        <w:t>는</w:t>
      </w:r>
      <w:r>
        <w:rPr>
          <w:rFonts w:ascii="HY신명조" w:eastAsia="HY신명조" w:hAnsi="나눔고딕" w:cs="나눔고딕" w:hint="eastAsia"/>
          <w:sz w:val="17"/>
          <w:szCs w:val="17"/>
        </w:rPr>
        <w:t xml:space="preserve"> 각각</w:t>
      </w:r>
      <w:r>
        <w:rPr>
          <w:rFonts w:ascii="HY신명조" w:eastAsia="HY신명조" w:hAnsi="나눔고딕" w:cs="나눔고딕"/>
          <w:sz w:val="17"/>
          <w:szCs w:val="17"/>
        </w:rPr>
        <w:t xml:space="preserve"> </w:t>
      </w:r>
      <w:r>
        <w:rPr>
          <w:rFonts w:ascii="HY신명조" w:eastAsia="HY신명조" w:hAnsi="나눔고딕" w:cs="나눔고딕" w:hint="eastAsia"/>
          <w:sz w:val="17"/>
          <w:szCs w:val="17"/>
        </w:rPr>
        <w:t>1%,</w:t>
      </w:r>
      <w:r>
        <w:rPr>
          <w:rFonts w:ascii="HY신명조" w:eastAsia="HY신명조" w:hAnsi="나눔고딕" w:cs="나눔고딕"/>
          <w:sz w:val="17"/>
          <w:szCs w:val="17"/>
        </w:rPr>
        <w:t xml:space="preserve"> </w:t>
      </w:r>
      <w:r>
        <w:rPr>
          <w:rFonts w:ascii="HY신명조" w:eastAsia="HY신명조" w:hAnsi="나눔고딕" w:cs="나눔고딕" w:hint="eastAsia"/>
          <w:sz w:val="17"/>
          <w:szCs w:val="17"/>
        </w:rPr>
        <w:t>5%</w:t>
      </w:r>
      <w:r>
        <w:rPr>
          <w:rFonts w:ascii="HY신명조" w:eastAsia="HY신명조" w:hAnsi="나눔고딕" w:cs="나눔고딕"/>
          <w:sz w:val="17"/>
          <w:szCs w:val="17"/>
        </w:rPr>
        <w:t xml:space="preserve"> </w:t>
      </w:r>
      <w:r>
        <w:rPr>
          <w:rFonts w:ascii="HY신명조" w:eastAsia="HY신명조" w:hAnsi="나눔고딕" w:cs="나눔고딕" w:hint="eastAsia"/>
          <w:sz w:val="17"/>
          <w:szCs w:val="17"/>
        </w:rPr>
        <w:t>및 10%(양측)에서 통계적으로 유의함을 표시함</w:t>
      </w:r>
    </w:p>
    <w:tbl>
      <w:tblPr>
        <w:tblW w:w="7284" w:type="dxa"/>
        <w:tblLayout w:type="fixed"/>
        <w:tblCellMar>
          <w:left w:w="75" w:type="dxa"/>
          <w:right w:w="75" w:type="dxa"/>
        </w:tblCellMar>
        <w:tblLook w:val="0000" w:firstRow="0" w:lastRow="0" w:firstColumn="0" w:lastColumn="0" w:noHBand="0" w:noVBand="0"/>
      </w:tblPr>
      <w:tblGrid>
        <w:gridCol w:w="2109"/>
        <w:gridCol w:w="1083"/>
        <w:gridCol w:w="1324"/>
        <w:gridCol w:w="1444"/>
        <w:gridCol w:w="1324"/>
      </w:tblGrid>
      <w:tr w:rsidR="006D3162" w14:paraId="4D48782C" w14:textId="77777777" w:rsidTr="006D3162">
        <w:trPr>
          <w:trHeight w:val="273"/>
        </w:trPr>
        <w:tc>
          <w:tcPr>
            <w:tcW w:w="2109" w:type="dxa"/>
            <w:tcBorders>
              <w:top w:val="single" w:sz="6" w:space="0" w:color="auto"/>
              <w:left w:val="nil"/>
              <w:bottom w:val="nil"/>
              <w:right w:val="nil"/>
            </w:tcBorders>
          </w:tcPr>
          <w:p w14:paraId="3ABA4E96"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single" w:sz="6" w:space="0" w:color="auto"/>
              <w:left w:val="nil"/>
              <w:bottom w:val="nil"/>
              <w:right w:val="nil"/>
            </w:tcBorders>
            <w:vAlign w:val="center"/>
          </w:tcPr>
          <w:p w14:paraId="18659FFE" w14:textId="2E7D2C74"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1열</w:t>
            </w:r>
          </w:p>
        </w:tc>
        <w:tc>
          <w:tcPr>
            <w:tcW w:w="1324" w:type="dxa"/>
            <w:tcBorders>
              <w:top w:val="single" w:sz="6" w:space="0" w:color="auto"/>
              <w:left w:val="nil"/>
              <w:bottom w:val="nil"/>
              <w:right w:val="nil"/>
            </w:tcBorders>
            <w:vAlign w:val="center"/>
          </w:tcPr>
          <w:p w14:paraId="0DB7A267" w14:textId="2B079FA8"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2열</w:t>
            </w:r>
          </w:p>
        </w:tc>
        <w:tc>
          <w:tcPr>
            <w:tcW w:w="1444" w:type="dxa"/>
            <w:tcBorders>
              <w:top w:val="single" w:sz="6" w:space="0" w:color="auto"/>
              <w:left w:val="nil"/>
              <w:bottom w:val="nil"/>
              <w:right w:val="nil"/>
            </w:tcBorders>
            <w:vAlign w:val="center"/>
          </w:tcPr>
          <w:p w14:paraId="58DDF5B3" w14:textId="2564172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3열</w:t>
            </w:r>
          </w:p>
        </w:tc>
        <w:tc>
          <w:tcPr>
            <w:tcW w:w="1324" w:type="dxa"/>
            <w:tcBorders>
              <w:top w:val="single" w:sz="6" w:space="0" w:color="auto"/>
              <w:left w:val="nil"/>
              <w:bottom w:val="nil"/>
              <w:right w:val="nil"/>
            </w:tcBorders>
            <w:vAlign w:val="center"/>
          </w:tcPr>
          <w:p w14:paraId="5627BB47" w14:textId="1FCC634C"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4열</w:t>
            </w:r>
          </w:p>
        </w:tc>
      </w:tr>
      <w:tr w:rsidR="006D3162" w14:paraId="261B2C22" w14:textId="77777777" w:rsidTr="006D3162">
        <w:trPr>
          <w:trHeight w:val="255"/>
        </w:trPr>
        <w:tc>
          <w:tcPr>
            <w:tcW w:w="2109" w:type="dxa"/>
            <w:tcBorders>
              <w:top w:val="nil"/>
              <w:left w:val="nil"/>
              <w:bottom w:val="single" w:sz="6" w:space="0" w:color="auto"/>
              <w:right w:val="nil"/>
            </w:tcBorders>
          </w:tcPr>
          <w:p w14:paraId="7037009B" w14:textId="77E42F99" w:rsidR="006D3162" w:rsidRPr="00955128" w:rsidRDefault="006D3162" w:rsidP="0005269A">
            <w:pPr>
              <w:adjustRightInd w:val="0"/>
              <w:spacing w:line="240" w:lineRule="auto"/>
              <w:rPr>
                <w:rFonts w:ascii="HY신명조" w:eastAsia="HY신명조" w:hAnsi="Times New Roman" w:cs="Times New Roman"/>
                <w:sz w:val="17"/>
                <w:szCs w:val="17"/>
              </w:rPr>
            </w:pPr>
            <w:r>
              <w:rPr>
                <w:rFonts w:ascii="HY신명조" w:eastAsia="HY신명조" w:hAnsi="Times New Roman" w:cs="Times New Roman" w:hint="eastAsia"/>
                <w:sz w:val="17"/>
                <w:szCs w:val="17"/>
              </w:rPr>
              <w:t>변수</w:t>
            </w:r>
          </w:p>
        </w:tc>
        <w:tc>
          <w:tcPr>
            <w:tcW w:w="1083" w:type="dxa"/>
            <w:tcBorders>
              <w:top w:val="nil"/>
              <w:left w:val="nil"/>
              <w:bottom w:val="single" w:sz="6" w:space="0" w:color="auto"/>
              <w:right w:val="nil"/>
            </w:tcBorders>
          </w:tcPr>
          <w:p w14:paraId="091F253C"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lpatent3</w:t>
            </w:r>
          </w:p>
        </w:tc>
        <w:tc>
          <w:tcPr>
            <w:tcW w:w="1324" w:type="dxa"/>
            <w:tcBorders>
              <w:top w:val="nil"/>
              <w:left w:val="nil"/>
              <w:bottom w:val="single" w:sz="6" w:space="0" w:color="auto"/>
              <w:right w:val="nil"/>
            </w:tcBorders>
          </w:tcPr>
          <w:p w14:paraId="0AE42A12"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lpatent3</w:t>
            </w:r>
          </w:p>
        </w:tc>
        <w:tc>
          <w:tcPr>
            <w:tcW w:w="1444" w:type="dxa"/>
            <w:tcBorders>
              <w:top w:val="nil"/>
              <w:left w:val="nil"/>
              <w:bottom w:val="single" w:sz="6" w:space="0" w:color="auto"/>
              <w:right w:val="nil"/>
            </w:tcBorders>
          </w:tcPr>
          <w:p w14:paraId="6E2E9BA6"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lpatent3</w:t>
            </w:r>
          </w:p>
        </w:tc>
        <w:tc>
          <w:tcPr>
            <w:tcW w:w="1324" w:type="dxa"/>
            <w:tcBorders>
              <w:top w:val="nil"/>
              <w:left w:val="nil"/>
              <w:bottom w:val="single" w:sz="6" w:space="0" w:color="auto"/>
              <w:right w:val="nil"/>
            </w:tcBorders>
          </w:tcPr>
          <w:p w14:paraId="0D162878"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lpatent3</w:t>
            </w:r>
          </w:p>
        </w:tc>
      </w:tr>
      <w:tr w:rsidR="00EE23A9" w14:paraId="17DDA26A" w14:textId="77777777" w:rsidTr="00EE23A9">
        <w:trPr>
          <w:trHeight w:val="255"/>
        </w:trPr>
        <w:tc>
          <w:tcPr>
            <w:tcW w:w="2109" w:type="dxa"/>
            <w:tcBorders>
              <w:top w:val="nil"/>
              <w:left w:val="nil"/>
              <w:right w:val="nil"/>
            </w:tcBorders>
          </w:tcPr>
          <w:p w14:paraId="4E000F15" w14:textId="77777777" w:rsidR="00EE23A9" w:rsidRDefault="00EE23A9" w:rsidP="00EE23A9">
            <w:pPr>
              <w:adjustRightInd w:val="0"/>
              <w:spacing w:line="240" w:lineRule="auto"/>
              <w:rPr>
                <w:rFonts w:ascii="HY신명조" w:eastAsia="HY신명조" w:hAnsi="Times New Roman" w:cs="Times New Roman"/>
                <w:sz w:val="17"/>
                <w:szCs w:val="17"/>
              </w:rPr>
            </w:pPr>
          </w:p>
        </w:tc>
        <w:tc>
          <w:tcPr>
            <w:tcW w:w="1083" w:type="dxa"/>
            <w:tcBorders>
              <w:top w:val="nil"/>
              <w:left w:val="nil"/>
              <w:right w:val="nil"/>
            </w:tcBorders>
          </w:tcPr>
          <w:p w14:paraId="734F8892" w14:textId="3465BB3C"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c>
          <w:tcPr>
            <w:tcW w:w="1324" w:type="dxa"/>
            <w:tcBorders>
              <w:top w:val="nil"/>
              <w:left w:val="nil"/>
              <w:right w:val="nil"/>
            </w:tcBorders>
          </w:tcPr>
          <w:p w14:paraId="4D37311D" w14:textId="10B1E1B3"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c>
          <w:tcPr>
            <w:tcW w:w="1444" w:type="dxa"/>
            <w:tcBorders>
              <w:top w:val="nil"/>
              <w:left w:val="nil"/>
              <w:right w:val="nil"/>
            </w:tcBorders>
          </w:tcPr>
          <w:p w14:paraId="59640AE9" w14:textId="246B7A6F"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c>
          <w:tcPr>
            <w:tcW w:w="1324" w:type="dxa"/>
            <w:tcBorders>
              <w:top w:val="nil"/>
              <w:left w:val="nil"/>
              <w:right w:val="nil"/>
            </w:tcBorders>
          </w:tcPr>
          <w:p w14:paraId="6E0383A1" w14:textId="4941D9FC"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r>
      <w:tr w:rsidR="00EE23A9" w14:paraId="324A02EA" w14:textId="77777777" w:rsidTr="006D3162">
        <w:trPr>
          <w:trHeight w:val="255"/>
        </w:trPr>
        <w:tc>
          <w:tcPr>
            <w:tcW w:w="2109" w:type="dxa"/>
            <w:tcBorders>
              <w:top w:val="nil"/>
              <w:left w:val="nil"/>
              <w:bottom w:val="single" w:sz="6" w:space="0" w:color="auto"/>
              <w:right w:val="nil"/>
            </w:tcBorders>
          </w:tcPr>
          <w:p w14:paraId="4C592955" w14:textId="77777777" w:rsidR="00EE23A9" w:rsidRDefault="00EE23A9" w:rsidP="00EE23A9">
            <w:pPr>
              <w:adjustRightInd w:val="0"/>
              <w:spacing w:line="240" w:lineRule="auto"/>
              <w:rPr>
                <w:rFonts w:ascii="HY신명조" w:eastAsia="HY신명조" w:hAnsi="Times New Roman" w:cs="Times New Roman"/>
                <w:sz w:val="17"/>
                <w:szCs w:val="17"/>
              </w:rPr>
            </w:pPr>
          </w:p>
        </w:tc>
        <w:tc>
          <w:tcPr>
            <w:tcW w:w="1083" w:type="dxa"/>
            <w:tcBorders>
              <w:top w:val="nil"/>
              <w:left w:val="nil"/>
              <w:bottom w:val="single" w:sz="6" w:space="0" w:color="auto"/>
              <w:right w:val="nil"/>
            </w:tcBorders>
          </w:tcPr>
          <w:p w14:paraId="13938204" w14:textId="7229E130"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c>
          <w:tcPr>
            <w:tcW w:w="1324" w:type="dxa"/>
            <w:tcBorders>
              <w:top w:val="nil"/>
              <w:left w:val="nil"/>
              <w:bottom w:val="single" w:sz="6" w:space="0" w:color="auto"/>
              <w:right w:val="nil"/>
            </w:tcBorders>
          </w:tcPr>
          <w:p w14:paraId="1CEF88A8" w14:textId="132C454E"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c>
          <w:tcPr>
            <w:tcW w:w="1444" w:type="dxa"/>
            <w:tcBorders>
              <w:top w:val="nil"/>
              <w:left w:val="nil"/>
              <w:bottom w:val="single" w:sz="6" w:space="0" w:color="auto"/>
              <w:right w:val="nil"/>
            </w:tcBorders>
          </w:tcPr>
          <w:p w14:paraId="2C5A4729" w14:textId="4A44B789"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c>
          <w:tcPr>
            <w:tcW w:w="1324" w:type="dxa"/>
            <w:tcBorders>
              <w:top w:val="nil"/>
              <w:left w:val="nil"/>
              <w:bottom w:val="single" w:sz="6" w:space="0" w:color="auto"/>
              <w:right w:val="nil"/>
            </w:tcBorders>
          </w:tcPr>
          <w:p w14:paraId="1E68B73B" w14:textId="7E5482DE" w:rsidR="00EE23A9" w:rsidRPr="00955128" w:rsidRDefault="00EE23A9" w:rsidP="00EE23A9">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r>
      <w:tr w:rsidR="006D3162" w14:paraId="1330FAA5" w14:textId="77777777" w:rsidTr="006D3162">
        <w:trPr>
          <w:trHeight w:val="273"/>
        </w:trPr>
        <w:tc>
          <w:tcPr>
            <w:tcW w:w="2109" w:type="dxa"/>
            <w:tcBorders>
              <w:top w:val="nil"/>
              <w:left w:val="nil"/>
              <w:bottom w:val="nil"/>
              <w:right w:val="nil"/>
            </w:tcBorders>
          </w:tcPr>
          <w:p w14:paraId="02DA8F7C" w14:textId="77777777" w:rsidR="006D3162" w:rsidRPr="00955128" w:rsidRDefault="006D3162" w:rsidP="0005269A">
            <w:pPr>
              <w:adjustRightInd w:val="0"/>
              <w:spacing w:line="240" w:lineRule="auto"/>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lcoverage</w:t>
            </w:r>
          </w:p>
        </w:tc>
        <w:tc>
          <w:tcPr>
            <w:tcW w:w="1083" w:type="dxa"/>
            <w:tcBorders>
              <w:top w:val="nil"/>
              <w:left w:val="nil"/>
              <w:bottom w:val="nil"/>
              <w:right w:val="nil"/>
            </w:tcBorders>
          </w:tcPr>
          <w:p w14:paraId="15BF4378"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0.281</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58C07A5"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0.186</w:t>
            </w:r>
            <w:r w:rsidRPr="0038102F">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480E267F"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0.193</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1E7C301"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0.102</w:t>
            </w:r>
            <w:r w:rsidRPr="0038102F">
              <w:rPr>
                <w:rFonts w:ascii="HY신명조" w:eastAsia="HY신명조" w:hAnsi="Times New Roman" w:cs="Times New Roman" w:hint="eastAsia"/>
                <w:sz w:val="17"/>
                <w:szCs w:val="17"/>
                <w:vertAlign w:val="superscript"/>
              </w:rPr>
              <w:t>**</w:t>
            </w:r>
          </w:p>
        </w:tc>
      </w:tr>
      <w:tr w:rsidR="006D3162" w14:paraId="61CD5561" w14:textId="77777777" w:rsidTr="006D3162">
        <w:trPr>
          <w:trHeight w:val="273"/>
        </w:trPr>
        <w:tc>
          <w:tcPr>
            <w:tcW w:w="2109" w:type="dxa"/>
            <w:tcBorders>
              <w:top w:val="nil"/>
              <w:left w:val="nil"/>
              <w:bottom w:val="nil"/>
              <w:right w:val="nil"/>
            </w:tcBorders>
          </w:tcPr>
          <w:p w14:paraId="590C5A64" w14:textId="77777777" w:rsidR="006D3162" w:rsidRPr="00955128"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49F48EFC"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(0.0319)</w:t>
            </w:r>
          </w:p>
        </w:tc>
        <w:tc>
          <w:tcPr>
            <w:tcW w:w="1324" w:type="dxa"/>
            <w:tcBorders>
              <w:top w:val="nil"/>
              <w:left w:val="nil"/>
              <w:bottom w:val="nil"/>
              <w:right w:val="nil"/>
            </w:tcBorders>
          </w:tcPr>
          <w:p w14:paraId="461E3F86"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(0.0376)</w:t>
            </w:r>
          </w:p>
        </w:tc>
        <w:tc>
          <w:tcPr>
            <w:tcW w:w="1444" w:type="dxa"/>
            <w:tcBorders>
              <w:top w:val="nil"/>
              <w:left w:val="nil"/>
              <w:bottom w:val="nil"/>
              <w:right w:val="nil"/>
            </w:tcBorders>
          </w:tcPr>
          <w:p w14:paraId="1177D9B0"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(0.0390)</w:t>
            </w:r>
          </w:p>
        </w:tc>
        <w:tc>
          <w:tcPr>
            <w:tcW w:w="1324" w:type="dxa"/>
            <w:tcBorders>
              <w:top w:val="nil"/>
              <w:left w:val="nil"/>
              <w:bottom w:val="nil"/>
              <w:right w:val="nil"/>
            </w:tcBorders>
          </w:tcPr>
          <w:p w14:paraId="3DE6FEE4"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(0.0470)</w:t>
            </w:r>
          </w:p>
        </w:tc>
      </w:tr>
      <w:tr w:rsidR="006D3162" w14:paraId="54F8991B" w14:textId="77777777" w:rsidTr="00C96508">
        <w:trPr>
          <w:trHeight w:val="255"/>
        </w:trPr>
        <w:tc>
          <w:tcPr>
            <w:tcW w:w="2109" w:type="dxa"/>
            <w:tcBorders>
              <w:top w:val="nil"/>
              <w:left w:val="nil"/>
              <w:bottom w:val="nil"/>
              <w:right w:val="nil"/>
            </w:tcBorders>
            <w:vAlign w:val="center"/>
          </w:tcPr>
          <w:p w14:paraId="1D51614D" w14:textId="57BCC93B"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ln(임직원수)</w:t>
            </w:r>
          </w:p>
        </w:tc>
        <w:tc>
          <w:tcPr>
            <w:tcW w:w="1083" w:type="dxa"/>
            <w:tcBorders>
              <w:top w:val="nil"/>
              <w:left w:val="nil"/>
              <w:bottom w:val="nil"/>
              <w:right w:val="nil"/>
            </w:tcBorders>
          </w:tcPr>
          <w:p w14:paraId="560E9280"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81715F0"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-0.244</w:t>
            </w:r>
            <w:r w:rsidRPr="0038102F">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78B15F11"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0.301</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79908EF"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-0.130</w:t>
            </w:r>
          </w:p>
        </w:tc>
      </w:tr>
      <w:tr w:rsidR="006D3162" w14:paraId="728E0821" w14:textId="77777777" w:rsidTr="00C96508">
        <w:trPr>
          <w:trHeight w:val="273"/>
        </w:trPr>
        <w:tc>
          <w:tcPr>
            <w:tcW w:w="2109" w:type="dxa"/>
            <w:tcBorders>
              <w:top w:val="nil"/>
              <w:left w:val="nil"/>
              <w:bottom w:val="nil"/>
              <w:right w:val="nil"/>
            </w:tcBorders>
            <w:vAlign w:val="center"/>
          </w:tcPr>
          <w:p w14:paraId="60168A4E"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BC4C8F2"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75DDA5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(0.129)</w:t>
            </w:r>
          </w:p>
        </w:tc>
        <w:tc>
          <w:tcPr>
            <w:tcW w:w="1444" w:type="dxa"/>
            <w:tcBorders>
              <w:top w:val="nil"/>
              <w:left w:val="nil"/>
              <w:bottom w:val="nil"/>
              <w:right w:val="nil"/>
            </w:tcBorders>
          </w:tcPr>
          <w:p w14:paraId="568ECB38"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(0.109)</w:t>
            </w:r>
          </w:p>
        </w:tc>
        <w:tc>
          <w:tcPr>
            <w:tcW w:w="1324" w:type="dxa"/>
            <w:tcBorders>
              <w:top w:val="nil"/>
              <w:left w:val="nil"/>
              <w:bottom w:val="nil"/>
              <w:right w:val="nil"/>
            </w:tcBorders>
          </w:tcPr>
          <w:p w14:paraId="3F170E5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(0.130)</w:t>
            </w:r>
          </w:p>
        </w:tc>
      </w:tr>
      <w:tr w:rsidR="006D3162" w14:paraId="6FBEB142" w14:textId="77777777" w:rsidTr="00C96508">
        <w:trPr>
          <w:trHeight w:val="273"/>
        </w:trPr>
        <w:tc>
          <w:tcPr>
            <w:tcW w:w="2109" w:type="dxa"/>
            <w:tcBorders>
              <w:top w:val="nil"/>
              <w:left w:val="nil"/>
              <w:bottom w:val="nil"/>
              <w:right w:val="nil"/>
            </w:tcBorders>
            <w:vAlign w:val="center"/>
          </w:tcPr>
          <w:p w14:paraId="4DDAC2BD" w14:textId="665E9BC5"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ln(총자산)</w:t>
            </w:r>
          </w:p>
        </w:tc>
        <w:tc>
          <w:tcPr>
            <w:tcW w:w="1083" w:type="dxa"/>
            <w:tcBorders>
              <w:top w:val="nil"/>
              <w:left w:val="nil"/>
              <w:bottom w:val="nil"/>
              <w:right w:val="nil"/>
            </w:tcBorders>
          </w:tcPr>
          <w:p w14:paraId="5C6DA41A"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53D524F"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0.297</w:t>
            </w:r>
            <w:r w:rsidRPr="0038102F">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4C8B8ADF"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0.247</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205B75B0"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0.300</w:t>
            </w:r>
            <w:r w:rsidRPr="0038102F">
              <w:rPr>
                <w:rFonts w:ascii="HY신명조" w:eastAsia="HY신명조" w:hAnsi="Times New Roman" w:cs="Times New Roman" w:hint="eastAsia"/>
                <w:sz w:val="17"/>
                <w:szCs w:val="17"/>
                <w:vertAlign w:val="superscript"/>
              </w:rPr>
              <w:t>***</w:t>
            </w:r>
          </w:p>
        </w:tc>
      </w:tr>
      <w:tr w:rsidR="006D3162" w14:paraId="78492C97" w14:textId="77777777" w:rsidTr="00C96508">
        <w:trPr>
          <w:trHeight w:val="273"/>
        </w:trPr>
        <w:tc>
          <w:tcPr>
            <w:tcW w:w="2109" w:type="dxa"/>
            <w:tcBorders>
              <w:top w:val="nil"/>
              <w:left w:val="nil"/>
              <w:bottom w:val="nil"/>
              <w:right w:val="nil"/>
            </w:tcBorders>
            <w:vAlign w:val="center"/>
          </w:tcPr>
          <w:p w14:paraId="01A32665"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6B049614"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9FE6F9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(0.0780)</w:t>
            </w:r>
          </w:p>
        </w:tc>
        <w:tc>
          <w:tcPr>
            <w:tcW w:w="1444" w:type="dxa"/>
            <w:tcBorders>
              <w:top w:val="nil"/>
              <w:left w:val="nil"/>
              <w:bottom w:val="nil"/>
              <w:right w:val="nil"/>
            </w:tcBorders>
          </w:tcPr>
          <w:p w14:paraId="210C79BB"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(0.0819)</w:t>
            </w:r>
          </w:p>
        </w:tc>
        <w:tc>
          <w:tcPr>
            <w:tcW w:w="1324" w:type="dxa"/>
            <w:tcBorders>
              <w:top w:val="nil"/>
              <w:left w:val="nil"/>
              <w:bottom w:val="nil"/>
              <w:right w:val="nil"/>
            </w:tcBorders>
          </w:tcPr>
          <w:p w14:paraId="76A6CE6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(0.112)</w:t>
            </w:r>
          </w:p>
        </w:tc>
      </w:tr>
      <w:tr w:rsidR="006D3162" w14:paraId="0D1B6B77" w14:textId="77777777" w:rsidTr="00C96508">
        <w:trPr>
          <w:trHeight w:val="255"/>
        </w:trPr>
        <w:tc>
          <w:tcPr>
            <w:tcW w:w="2109" w:type="dxa"/>
            <w:tcBorders>
              <w:top w:val="nil"/>
              <w:left w:val="nil"/>
              <w:bottom w:val="nil"/>
              <w:right w:val="nil"/>
            </w:tcBorders>
            <w:vAlign w:val="center"/>
          </w:tcPr>
          <w:p w14:paraId="2A40A1B4" w14:textId="24BB819B"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ln(시가총액)</w:t>
            </w:r>
          </w:p>
        </w:tc>
        <w:tc>
          <w:tcPr>
            <w:tcW w:w="1083" w:type="dxa"/>
            <w:tcBorders>
              <w:top w:val="nil"/>
              <w:left w:val="nil"/>
              <w:bottom w:val="nil"/>
              <w:right w:val="nil"/>
            </w:tcBorders>
          </w:tcPr>
          <w:p w14:paraId="0C88522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4C575B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1.38e-05</w:t>
            </w:r>
            <w:r w:rsidRPr="0038102F">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0642DB5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2.03e-05</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DE60A0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1.26e-05</w:t>
            </w:r>
            <w:r w:rsidRPr="0038102F">
              <w:rPr>
                <w:rFonts w:ascii="HY신명조" w:eastAsia="HY신명조" w:hAnsi="Times New Roman" w:cs="Times New Roman" w:hint="eastAsia"/>
                <w:sz w:val="17"/>
                <w:szCs w:val="17"/>
                <w:vertAlign w:val="superscript"/>
              </w:rPr>
              <w:t>**</w:t>
            </w:r>
          </w:p>
        </w:tc>
      </w:tr>
      <w:tr w:rsidR="006D3162" w14:paraId="333F8E66" w14:textId="77777777" w:rsidTr="00C96508">
        <w:trPr>
          <w:trHeight w:val="273"/>
        </w:trPr>
        <w:tc>
          <w:tcPr>
            <w:tcW w:w="2109" w:type="dxa"/>
            <w:tcBorders>
              <w:top w:val="nil"/>
              <w:left w:val="nil"/>
              <w:bottom w:val="nil"/>
              <w:right w:val="nil"/>
            </w:tcBorders>
            <w:vAlign w:val="center"/>
          </w:tcPr>
          <w:p w14:paraId="6FF65B31"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915520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1F8875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(5.89e-06)</w:t>
            </w:r>
          </w:p>
        </w:tc>
        <w:tc>
          <w:tcPr>
            <w:tcW w:w="1444" w:type="dxa"/>
            <w:tcBorders>
              <w:top w:val="nil"/>
              <w:left w:val="nil"/>
              <w:bottom w:val="nil"/>
              <w:right w:val="nil"/>
            </w:tcBorders>
          </w:tcPr>
          <w:p w14:paraId="566C3825"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(5.36e-06)</w:t>
            </w:r>
          </w:p>
        </w:tc>
        <w:tc>
          <w:tcPr>
            <w:tcW w:w="1324" w:type="dxa"/>
            <w:tcBorders>
              <w:top w:val="nil"/>
              <w:left w:val="nil"/>
              <w:bottom w:val="nil"/>
              <w:right w:val="nil"/>
            </w:tcBorders>
          </w:tcPr>
          <w:p w14:paraId="10B2B7B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(6.05e-06)</w:t>
            </w:r>
          </w:p>
        </w:tc>
      </w:tr>
      <w:tr w:rsidR="006D3162" w14:paraId="5A7AF000" w14:textId="77777777" w:rsidTr="00C96508">
        <w:trPr>
          <w:trHeight w:val="273"/>
        </w:trPr>
        <w:tc>
          <w:tcPr>
            <w:tcW w:w="2109" w:type="dxa"/>
            <w:tcBorders>
              <w:top w:val="nil"/>
              <w:left w:val="nil"/>
              <w:bottom w:val="nil"/>
              <w:right w:val="nil"/>
            </w:tcBorders>
            <w:vAlign w:val="center"/>
          </w:tcPr>
          <w:p w14:paraId="2846B67F" w14:textId="51906A8B"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부채비율</w:t>
            </w:r>
          </w:p>
        </w:tc>
        <w:tc>
          <w:tcPr>
            <w:tcW w:w="1083" w:type="dxa"/>
            <w:tcBorders>
              <w:top w:val="nil"/>
              <w:left w:val="nil"/>
              <w:bottom w:val="nil"/>
              <w:right w:val="nil"/>
            </w:tcBorders>
          </w:tcPr>
          <w:p w14:paraId="3BD3FF01"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EEA8D2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1736B99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-0.000207</w:t>
            </w:r>
          </w:p>
        </w:tc>
        <w:tc>
          <w:tcPr>
            <w:tcW w:w="1324" w:type="dxa"/>
            <w:tcBorders>
              <w:top w:val="nil"/>
              <w:left w:val="nil"/>
              <w:bottom w:val="nil"/>
              <w:right w:val="nil"/>
            </w:tcBorders>
          </w:tcPr>
          <w:p w14:paraId="297A78D9"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-9.73e-05</w:t>
            </w:r>
          </w:p>
        </w:tc>
      </w:tr>
      <w:tr w:rsidR="006D3162" w14:paraId="5766115F" w14:textId="77777777" w:rsidTr="00C96508">
        <w:trPr>
          <w:trHeight w:val="273"/>
        </w:trPr>
        <w:tc>
          <w:tcPr>
            <w:tcW w:w="2109" w:type="dxa"/>
            <w:tcBorders>
              <w:top w:val="nil"/>
              <w:left w:val="nil"/>
              <w:bottom w:val="nil"/>
              <w:right w:val="nil"/>
            </w:tcBorders>
            <w:vAlign w:val="center"/>
          </w:tcPr>
          <w:p w14:paraId="395621AB"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385665A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5868AE9"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758C054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(0.000472)</w:t>
            </w:r>
          </w:p>
        </w:tc>
        <w:tc>
          <w:tcPr>
            <w:tcW w:w="1324" w:type="dxa"/>
            <w:tcBorders>
              <w:top w:val="nil"/>
              <w:left w:val="nil"/>
              <w:bottom w:val="nil"/>
              <w:right w:val="nil"/>
            </w:tcBorders>
          </w:tcPr>
          <w:p w14:paraId="17B35F92"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(0.000473)</w:t>
            </w:r>
          </w:p>
        </w:tc>
      </w:tr>
      <w:tr w:rsidR="006D3162" w14:paraId="614603E7" w14:textId="77777777" w:rsidTr="00C96508">
        <w:trPr>
          <w:trHeight w:val="255"/>
        </w:trPr>
        <w:tc>
          <w:tcPr>
            <w:tcW w:w="2109" w:type="dxa"/>
            <w:tcBorders>
              <w:top w:val="nil"/>
              <w:left w:val="nil"/>
              <w:bottom w:val="nil"/>
              <w:right w:val="nil"/>
            </w:tcBorders>
            <w:vAlign w:val="center"/>
          </w:tcPr>
          <w:p w14:paraId="01B53F3C" w14:textId="3613F64D"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순부채비율</w:t>
            </w:r>
          </w:p>
        </w:tc>
        <w:tc>
          <w:tcPr>
            <w:tcW w:w="1083" w:type="dxa"/>
            <w:tcBorders>
              <w:top w:val="nil"/>
              <w:left w:val="nil"/>
              <w:bottom w:val="nil"/>
              <w:right w:val="nil"/>
            </w:tcBorders>
          </w:tcPr>
          <w:p w14:paraId="21478C7B"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0E5208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11EB83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-0.000362</w:t>
            </w:r>
          </w:p>
        </w:tc>
        <w:tc>
          <w:tcPr>
            <w:tcW w:w="1324" w:type="dxa"/>
            <w:tcBorders>
              <w:top w:val="nil"/>
              <w:left w:val="nil"/>
              <w:bottom w:val="nil"/>
              <w:right w:val="nil"/>
            </w:tcBorders>
          </w:tcPr>
          <w:p w14:paraId="128DB42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0.000305</w:t>
            </w:r>
          </w:p>
        </w:tc>
      </w:tr>
      <w:tr w:rsidR="006D3162" w14:paraId="3F80427B" w14:textId="77777777" w:rsidTr="00C96508">
        <w:trPr>
          <w:trHeight w:val="273"/>
        </w:trPr>
        <w:tc>
          <w:tcPr>
            <w:tcW w:w="2109" w:type="dxa"/>
            <w:tcBorders>
              <w:top w:val="nil"/>
              <w:left w:val="nil"/>
              <w:bottom w:val="nil"/>
              <w:right w:val="nil"/>
            </w:tcBorders>
            <w:vAlign w:val="center"/>
          </w:tcPr>
          <w:p w14:paraId="5610AD4A"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58D4D57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80EDB92"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D0A74F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(0.000777)</w:t>
            </w:r>
          </w:p>
        </w:tc>
        <w:tc>
          <w:tcPr>
            <w:tcW w:w="1324" w:type="dxa"/>
            <w:tcBorders>
              <w:top w:val="nil"/>
              <w:left w:val="nil"/>
              <w:bottom w:val="nil"/>
              <w:right w:val="nil"/>
            </w:tcBorders>
          </w:tcPr>
          <w:p w14:paraId="4535E43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(0.000774)</w:t>
            </w:r>
          </w:p>
        </w:tc>
      </w:tr>
      <w:tr w:rsidR="006D3162" w14:paraId="67EE52AE" w14:textId="77777777" w:rsidTr="00C96508">
        <w:trPr>
          <w:trHeight w:val="273"/>
        </w:trPr>
        <w:tc>
          <w:tcPr>
            <w:tcW w:w="2109" w:type="dxa"/>
            <w:tcBorders>
              <w:top w:val="nil"/>
              <w:left w:val="nil"/>
              <w:bottom w:val="nil"/>
              <w:right w:val="nil"/>
            </w:tcBorders>
            <w:vAlign w:val="center"/>
          </w:tcPr>
          <w:p w14:paraId="36834D3D" w14:textId="4D26C431"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종속연수</w:t>
            </w:r>
          </w:p>
        </w:tc>
        <w:tc>
          <w:tcPr>
            <w:tcW w:w="1083" w:type="dxa"/>
            <w:tcBorders>
              <w:top w:val="nil"/>
              <w:left w:val="nil"/>
              <w:bottom w:val="nil"/>
              <w:right w:val="nil"/>
            </w:tcBorders>
          </w:tcPr>
          <w:p w14:paraId="6636EDDB"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44FDC7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6C9053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-0.0200</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48D9D5D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0.0464</w:t>
            </w:r>
            <w:r w:rsidRPr="0038102F">
              <w:rPr>
                <w:rFonts w:ascii="HY신명조" w:eastAsia="HY신명조" w:hAnsi="Times New Roman" w:cs="Times New Roman" w:hint="eastAsia"/>
                <w:sz w:val="17"/>
                <w:szCs w:val="17"/>
                <w:vertAlign w:val="superscript"/>
              </w:rPr>
              <w:t>**</w:t>
            </w:r>
          </w:p>
        </w:tc>
      </w:tr>
      <w:tr w:rsidR="006D3162" w14:paraId="4BBAE2BD" w14:textId="77777777" w:rsidTr="00C96508">
        <w:trPr>
          <w:trHeight w:val="273"/>
        </w:trPr>
        <w:tc>
          <w:tcPr>
            <w:tcW w:w="2109" w:type="dxa"/>
            <w:tcBorders>
              <w:top w:val="nil"/>
              <w:left w:val="nil"/>
              <w:bottom w:val="nil"/>
              <w:right w:val="nil"/>
            </w:tcBorders>
            <w:vAlign w:val="center"/>
          </w:tcPr>
          <w:p w14:paraId="3CE6BD6B"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AFD946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D3307C9"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59BE983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(0.00713)</w:t>
            </w:r>
          </w:p>
        </w:tc>
        <w:tc>
          <w:tcPr>
            <w:tcW w:w="1324" w:type="dxa"/>
            <w:tcBorders>
              <w:top w:val="nil"/>
              <w:left w:val="nil"/>
              <w:bottom w:val="nil"/>
              <w:right w:val="nil"/>
            </w:tcBorders>
          </w:tcPr>
          <w:p w14:paraId="7FE33D7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(0.0191)</w:t>
            </w:r>
          </w:p>
        </w:tc>
      </w:tr>
      <w:tr w:rsidR="006D3162" w14:paraId="5829AD87" w14:textId="77777777" w:rsidTr="00C96508">
        <w:trPr>
          <w:trHeight w:val="255"/>
        </w:trPr>
        <w:tc>
          <w:tcPr>
            <w:tcW w:w="2109" w:type="dxa"/>
            <w:tcBorders>
              <w:top w:val="nil"/>
              <w:left w:val="nil"/>
              <w:bottom w:val="nil"/>
              <w:right w:val="nil"/>
            </w:tcBorders>
            <w:vAlign w:val="center"/>
          </w:tcPr>
          <w:p w14:paraId="5B995017" w14:textId="6063650C"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외국인 지분율</w:t>
            </w:r>
          </w:p>
        </w:tc>
        <w:tc>
          <w:tcPr>
            <w:tcW w:w="1083" w:type="dxa"/>
            <w:tcBorders>
              <w:top w:val="nil"/>
              <w:left w:val="nil"/>
              <w:bottom w:val="nil"/>
              <w:right w:val="nil"/>
            </w:tcBorders>
          </w:tcPr>
          <w:p w14:paraId="23A25D9F"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6EE5961"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20E7B60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-0.0148</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74400C6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-0.0115</w:t>
            </w:r>
            <w:r w:rsidRPr="0038102F">
              <w:rPr>
                <w:rFonts w:ascii="HY신명조" w:eastAsia="HY신명조" w:hAnsi="Times New Roman" w:cs="Times New Roman" w:hint="eastAsia"/>
                <w:sz w:val="17"/>
                <w:szCs w:val="17"/>
                <w:vertAlign w:val="superscript"/>
              </w:rPr>
              <w:t>***</w:t>
            </w:r>
          </w:p>
        </w:tc>
      </w:tr>
      <w:tr w:rsidR="006D3162" w14:paraId="7B511C29" w14:textId="77777777" w:rsidTr="00C96508">
        <w:trPr>
          <w:trHeight w:val="273"/>
        </w:trPr>
        <w:tc>
          <w:tcPr>
            <w:tcW w:w="2109" w:type="dxa"/>
            <w:tcBorders>
              <w:top w:val="nil"/>
              <w:left w:val="nil"/>
              <w:bottom w:val="nil"/>
              <w:right w:val="nil"/>
            </w:tcBorders>
            <w:vAlign w:val="center"/>
          </w:tcPr>
          <w:p w14:paraId="51F2FEAA"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220ABC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A6BD4D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45D09E82"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(0.00354)</w:t>
            </w:r>
          </w:p>
        </w:tc>
        <w:tc>
          <w:tcPr>
            <w:tcW w:w="1324" w:type="dxa"/>
            <w:tcBorders>
              <w:top w:val="nil"/>
              <w:left w:val="nil"/>
              <w:bottom w:val="nil"/>
              <w:right w:val="nil"/>
            </w:tcBorders>
          </w:tcPr>
          <w:p w14:paraId="6F5DC4BB"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(0.00383)</w:t>
            </w:r>
          </w:p>
        </w:tc>
      </w:tr>
      <w:tr w:rsidR="006D3162" w14:paraId="5014525C" w14:textId="77777777" w:rsidTr="00C96508">
        <w:trPr>
          <w:trHeight w:val="273"/>
        </w:trPr>
        <w:tc>
          <w:tcPr>
            <w:tcW w:w="2109" w:type="dxa"/>
            <w:tcBorders>
              <w:top w:val="nil"/>
              <w:left w:val="nil"/>
              <w:bottom w:val="nil"/>
              <w:right w:val="nil"/>
            </w:tcBorders>
            <w:vAlign w:val="center"/>
          </w:tcPr>
          <w:p w14:paraId="71B25630" w14:textId="0AAE02C6"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최대주주 지분율</w:t>
            </w:r>
          </w:p>
        </w:tc>
        <w:tc>
          <w:tcPr>
            <w:tcW w:w="1083" w:type="dxa"/>
            <w:tcBorders>
              <w:top w:val="nil"/>
              <w:left w:val="nil"/>
              <w:bottom w:val="nil"/>
              <w:right w:val="nil"/>
            </w:tcBorders>
          </w:tcPr>
          <w:p w14:paraId="61A17508"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A13AF04"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302DF0A4"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0.00316</w:t>
            </w:r>
          </w:p>
        </w:tc>
        <w:tc>
          <w:tcPr>
            <w:tcW w:w="1324" w:type="dxa"/>
            <w:tcBorders>
              <w:top w:val="nil"/>
              <w:left w:val="nil"/>
              <w:bottom w:val="nil"/>
              <w:right w:val="nil"/>
            </w:tcBorders>
          </w:tcPr>
          <w:p w14:paraId="6D75824A"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0.00510</w:t>
            </w:r>
          </w:p>
        </w:tc>
      </w:tr>
      <w:tr w:rsidR="006D3162" w14:paraId="42C5FFE9" w14:textId="77777777" w:rsidTr="00C96508">
        <w:trPr>
          <w:trHeight w:val="273"/>
        </w:trPr>
        <w:tc>
          <w:tcPr>
            <w:tcW w:w="2109" w:type="dxa"/>
            <w:tcBorders>
              <w:top w:val="nil"/>
              <w:left w:val="nil"/>
              <w:bottom w:val="nil"/>
              <w:right w:val="nil"/>
            </w:tcBorders>
            <w:vAlign w:val="center"/>
          </w:tcPr>
          <w:p w14:paraId="36A86877"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75BC7D49"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B1F547A"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5BF8A901"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(0.00478)</w:t>
            </w:r>
          </w:p>
        </w:tc>
        <w:tc>
          <w:tcPr>
            <w:tcW w:w="1324" w:type="dxa"/>
            <w:tcBorders>
              <w:top w:val="nil"/>
              <w:left w:val="nil"/>
              <w:bottom w:val="nil"/>
              <w:right w:val="nil"/>
            </w:tcBorders>
          </w:tcPr>
          <w:p w14:paraId="6D787FA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(0.00524)</w:t>
            </w:r>
          </w:p>
        </w:tc>
      </w:tr>
      <w:tr w:rsidR="006D3162" w14:paraId="2155A554" w14:textId="77777777" w:rsidTr="00C96508">
        <w:trPr>
          <w:trHeight w:val="255"/>
        </w:trPr>
        <w:tc>
          <w:tcPr>
            <w:tcW w:w="2109" w:type="dxa"/>
            <w:tcBorders>
              <w:top w:val="nil"/>
              <w:left w:val="nil"/>
              <w:bottom w:val="nil"/>
              <w:right w:val="nil"/>
            </w:tcBorders>
            <w:vAlign w:val="center"/>
          </w:tcPr>
          <w:p w14:paraId="40F76A2E" w14:textId="1E244064"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거래량 회전율</w:t>
            </w:r>
          </w:p>
        </w:tc>
        <w:tc>
          <w:tcPr>
            <w:tcW w:w="1083" w:type="dxa"/>
            <w:tcBorders>
              <w:top w:val="nil"/>
              <w:left w:val="nil"/>
              <w:bottom w:val="nil"/>
              <w:right w:val="nil"/>
            </w:tcBorders>
          </w:tcPr>
          <w:p w14:paraId="6EB14D0F"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2E63D4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75CA6865"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0.00172</w:t>
            </w:r>
          </w:p>
        </w:tc>
        <w:tc>
          <w:tcPr>
            <w:tcW w:w="1324" w:type="dxa"/>
            <w:tcBorders>
              <w:top w:val="nil"/>
              <w:left w:val="nil"/>
              <w:bottom w:val="nil"/>
              <w:right w:val="nil"/>
            </w:tcBorders>
          </w:tcPr>
          <w:p w14:paraId="7113D81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-0.0380</w:t>
            </w:r>
          </w:p>
        </w:tc>
      </w:tr>
      <w:tr w:rsidR="006D3162" w14:paraId="1C2F74CF" w14:textId="77777777" w:rsidTr="00C96508">
        <w:trPr>
          <w:trHeight w:val="273"/>
        </w:trPr>
        <w:tc>
          <w:tcPr>
            <w:tcW w:w="2109" w:type="dxa"/>
            <w:tcBorders>
              <w:top w:val="nil"/>
              <w:left w:val="nil"/>
              <w:bottom w:val="nil"/>
              <w:right w:val="nil"/>
            </w:tcBorders>
            <w:vAlign w:val="center"/>
          </w:tcPr>
          <w:p w14:paraId="6DB43931"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3602F70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2ACC7714"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1010D71"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(0.0390)</w:t>
            </w:r>
          </w:p>
        </w:tc>
        <w:tc>
          <w:tcPr>
            <w:tcW w:w="1324" w:type="dxa"/>
            <w:tcBorders>
              <w:top w:val="nil"/>
              <w:left w:val="nil"/>
              <w:bottom w:val="nil"/>
              <w:right w:val="nil"/>
            </w:tcBorders>
          </w:tcPr>
          <w:p w14:paraId="206D4CF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(0.0381)</w:t>
            </w:r>
          </w:p>
        </w:tc>
      </w:tr>
      <w:tr w:rsidR="006D3162" w14:paraId="6A71436F" w14:textId="77777777" w:rsidTr="00C96508">
        <w:trPr>
          <w:trHeight w:val="273"/>
        </w:trPr>
        <w:tc>
          <w:tcPr>
            <w:tcW w:w="2109" w:type="dxa"/>
            <w:tcBorders>
              <w:top w:val="nil"/>
              <w:left w:val="nil"/>
              <w:bottom w:val="nil"/>
              <w:right w:val="nil"/>
            </w:tcBorders>
            <w:vAlign w:val="center"/>
          </w:tcPr>
          <w:p w14:paraId="63A0E195" w14:textId="41CFF6A2"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토빈의 Q</w:t>
            </w:r>
          </w:p>
        </w:tc>
        <w:tc>
          <w:tcPr>
            <w:tcW w:w="1083" w:type="dxa"/>
            <w:tcBorders>
              <w:top w:val="nil"/>
              <w:left w:val="nil"/>
              <w:bottom w:val="nil"/>
              <w:right w:val="nil"/>
            </w:tcBorders>
          </w:tcPr>
          <w:p w14:paraId="2DFAF20D"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F24A18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0B54C854"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E95F8A9"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-0.0117</w:t>
            </w:r>
          </w:p>
        </w:tc>
      </w:tr>
      <w:tr w:rsidR="006D3162" w14:paraId="57606744" w14:textId="77777777" w:rsidTr="00C96508">
        <w:trPr>
          <w:trHeight w:val="273"/>
        </w:trPr>
        <w:tc>
          <w:tcPr>
            <w:tcW w:w="2109" w:type="dxa"/>
            <w:tcBorders>
              <w:top w:val="nil"/>
              <w:left w:val="nil"/>
              <w:bottom w:val="nil"/>
              <w:right w:val="nil"/>
            </w:tcBorders>
            <w:vAlign w:val="center"/>
          </w:tcPr>
          <w:p w14:paraId="1634E393" w14:textId="77777777" w:rsidR="006D3162" w:rsidRPr="00955128" w:rsidRDefault="006D3162" w:rsidP="006D3162">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060B479C"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79C6F0E7"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014C7D3"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1842D7E0"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(0.0207)</w:t>
            </w:r>
          </w:p>
        </w:tc>
      </w:tr>
      <w:tr w:rsidR="006D3162" w14:paraId="22D84C20" w14:textId="77777777" w:rsidTr="00C96508">
        <w:trPr>
          <w:trHeight w:val="255"/>
        </w:trPr>
        <w:tc>
          <w:tcPr>
            <w:tcW w:w="2109" w:type="dxa"/>
            <w:tcBorders>
              <w:top w:val="nil"/>
              <w:left w:val="nil"/>
              <w:bottom w:val="nil"/>
              <w:right w:val="nil"/>
            </w:tcBorders>
            <w:vAlign w:val="center"/>
          </w:tcPr>
          <w:p w14:paraId="28669311" w14:textId="37A670DB" w:rsidR="006D3162" w:rsidRPr="00955128" w:rsidRDefault="006D3162" w:rsidP="006D3162">
            <w:pPr>
              <w:adjustRightInd w:val="0"/>
              <w:spacing w:line="240" w:lineRule="auto"/>
              <w:rPr>
                <w:rFonts w:ascii="HY신명조" w:eastAsia="HY신명조" w:hAnsi="Times New Roman" w:cs="Times New Roman"/>
                <w:sz w:val="17"/>
                <w:szCs w:val="17"/>
              </w:rPr>
            </w:pPr>
            <w:r w:rsidRPr="003671AD">
              <w:rPr>
                <w:rFonts w:ascii="HY신명조" w:eastAsia="HY신명조" w:hAnsi="맑은 고딕" w:cs="굴림" w:hint="eastAsia"/>
                <w:color w:val="000000"/>
                <w:sz w:val="17"/>
                <w:szCs w:val="17"/>
                <w:lang w:val="en-US"/>
              </w:rPr>
              <w:t>국내10년국채금리</w:t>
            </w:r>
          </w:p>
        </w:tc>
        <w:tc>
          <w:tcPr>
            <w:tcW w:w="1083" w:type="dxa"/>
            <w:tcBorders>
              <w:top w:val="nil"/>
              <w:left w:val="nil"/>
              <w:bottom w:val="nil"/>
              <w:right w:val="nil"/>
            </w:tcBorders>
          </w:tcPr>
          <w:p w14:paraId="0224B438"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55226EEE"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25068F36"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07B0C092" w14:textId="77777777" w:rsidR="006D3162" w:rsidRPr="00955128" w:rsidRDefault="006D3162" w:rsidP="006D3162">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0.248</w:t>
            </w:r>
            <w:r w:rsidRPr="0038102F">
              <w:rPr>
                <w:rFonts w:ascii="HY신명조" w:eastAsia="HY신명조" w:hAnsi="Times New Roman" w:cs="Times New Roman" w:hint="eastAsia"/>
                <w:sz w:val="17"/>
                <w:szCs w:val="17"/>
                <w:vertAlign w:val="superscript"/>
              </w:rPr>
              <w:t>***</w:t>
            </w:r>
          </w:p>
        </w:tc>
      </w:tr>
      <w:tr w:rsidR="006D3162" w14:paraId="172157B6" w14:textId="77777777" w:rsidTr="006D3162">
        <w:trPr>
          <w:trHeight w:val="273"/>
        </w:trPr>
        <w:tc>
          <w:tcPr>
            <w:tcW w:w="2109" w:type="dxa"/>
            <w:tcBorders>
              <w:top w:val="nil"/>
              <w:left w:val="nil"/>
              <w:bottom w:val="nil"/>
              <w:right w:val="nil"/>
            </w:tcBorders>
          </w:tcPr>
          <w:p w14:paraId="5EED2C1C" w14:textId="77777777" w:rsidR="006D3162" w:rsidRPr="00955128"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nil"/>
              <w:right w:val="nil"/>
            </w:tcBorders>
          </w:tcPr>
          <w:p w14:paraId="4BC208C3"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6DD6EB77"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p>
        </w:tc>
        <w:tc>
          <w:tcPr>
            <w:tcW w:w="1444" w:type="dxa"/>
            <w:tcBorders>
              <w:top w:val="nil"/>
              <w:left w:val="nil"/>
              <w:bottom w:val="nil"/>
              <w:right w:val="nil"/>
            </w:tcBorders>
          </w:tcPr>
          <w:p w14:paraId="69143122"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46ADDDC3"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(0.0533)</w:t>
            </w:r>
          </w:p>
        </w:tc>
      </w:tr>
      <w:tr w:rsidR="006D3162" w14:paraId="56AC940D" w14:textId="77777777" w:rsidTr="006D3162">
        <w:trPr>
          <w:trHeight w:val="273"/>
        </w:trPr>
        <w:tc>
          <w:tcPr>
            <w:tcW w:w="2109" w:type="dxa"/>
            <w:tcBorders>
              <w:top w:val="nil"/>
              <w:left w:val="nil"/>
              <w:bottom w:val="nil"/>
              <w:right w:val="nil"/>
            </w:tcBorders>
          </w:tcPr>
          <w:p w14:paraId="752E9ABC" w14:textId="77777777" w:rsidR="006D3162" w:rsidRPr="00955128" w:rsidRDefault="006D3162" w:rsidP="0005269A">
            <w:pPr>
              <w:adjustRightInd w:val="0"/>
              <w:spacing w:line="240" w:lineRule="auto"/>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Constant</w:t>
            </w:r>
          </w:p>
        </w:tc>
        <w:tc>
          <w:tcPr>
            <w:tcW w:w="1083" w:type="dxa"/>
            <w:tcBorders>
              <w:top w:val="nil"/>
              <w:left w:val="nil"/>
              <w:bottom w:val="nil"/>
              <w:right w:val="nil"/>
            </w:tcBorders>
          </w:tcPr>
          <w:p w14:paraId="17F3124A"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2.457</w:t>
            </w:r>
            <w:r w:rsidRPr="0038102F">
              <w:rPr>
                <w:rFonts w:ascii="HY신명조" w:eastAsia="HY신명조" w:hAnsi="Times New Roman" w:cs="Times New Roman" w:hint="eastAsia"/>
                <w:sz w:val="17"/>
                <w:szCs w:val="17"/>
                <w:vertAlign w:val="superscript"/>
              </w:rPr>
              <w:t>***</w:t>
            </w:r>
          </w:p>
        </w:tc>
        <w:tc>
          <w:tcPr>
            <w:tcW w:w="1324" w:type="dxa"/>
            <w:tcBorders>
              <w:top w:val="nil"/>
              <w:left w:val="nil"/>
              <w:bottom w:val="nil"/>
              <w:right w:val="nil"/>
            </w:tcBorders>
          </w:tcPr>
          <w:p w14:paraId="63115B40"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2.470</w:t>
            </w:r>
            <w:r w:rsidRPr="0038102F">
              <w:rPr>
                <w:rFonts w:ascii="HY신명조" w:eastAsia="HY신명조" w:hAnsi="Times New Roman" w:cs="Times New Roman" w:hint="eastAsia"/>
                <w:sz w:val="17"/>
                <w:szCs w:val="17"/>
                <w:vertAlign w:val="superscript"/>
              </w:rPr>
              <w:t>***</w:t>
            </w:r>
          </w:p>
        </w:tc>
        <w:tc>
          <w:tcPr>
            <w:tcW w:w="1444" w:type="dxa"/>
            <w:tcBorders>
              <w:top w:val="nil"/>
              <w:left w:val="nil"/>
              <w:bottom w:val="nil"/>
              <w:right w:val="nil"/>
            </w:tcBorders>
          </w:tcPr>
          <w:p w14:paraId="2BE69333"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-0.968</w:t>
            </w:r>
          </w:p>
        </w:tc>
        <w:tc>
          <w:tcPr>
            <w:tcW w:w="1324" w:type="dxa"/>
            <w:tcBorders>
              <w:top w:val="nil"/>
              <w:left w:val="nil"/>
              <w:bottom w:val="nil"/>
              <w:right w:val="nil"/>
            </w:tcBorders>
          </w:tcPr>
          <w:p w14:paraId="47A9C30D"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-0.533</w:t>
            </w:r>
          </w:p>
        </w:tc>
      </w:tr>
      <w:tr w:rsidR="006D3162" w14:paraId="1B9CA157" w14:textId="77777777" w:rsidTr="00EE23A9">
        <w:trPr>
          <w:trHeight w:val="273"/>
        </w:trPr>
        <w:tc>
          <w:tcPr>
            <w:tcW w:w="2109" w:type="dxa"/>
            <w:tcBorders>
              <w:top w:val="nil"/>
              <w:left w:val="nil"/>
              <w:bottom w:val="single" w:sz="4" w:space="0" w:color="auto"/>
              <w:right w:val="nil"/>
            </w:tcBorders>
          </w:tcPr>
          <w:p w14:paraId="35B897C1" w14:textId="77777777" w:rsidR="006D3162" w:rsidRPr="00955128" w:rsidRDefault="006D3162" w:rsidP="0005269A">
            <w:pPr>
              <w:adjustRightInd w:val="0"/>
              <w:spacing w:line="240" w:lineRule="auto"/>
              <w:rPr>
                <w:rFonts w:ascii="HY신명조" w:eastAsia="HY신명조" w:hAnsi="Times New Roman" w:cs="Times New Roman"/>
                <w:sz w:val="17"/>
                <w:szCs w:val="17"/>
              </w:rPr>
            </w:pPr>
          </w:p>
        </w:tc>
        <w:tc>
          <w:tcPr>
            <w:tcW w:w="1083" w:type="dxa"/>
            <w:tcBorders>
              <w:top w:val="nil"/>
              <w:left w:val="nil"/>
              <w:bottom w:val="single" w:sz="4" w:space="0" w:color="auto"/>
              <w:right w:val="nil"/>
            </w:tcBorders>
          </w:tcPr>
          <w:p w14:paraId="05A2A993"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(0.165)</w:t>
            </w:r>
          </w:p>
        </w:tc>
        <w:tc>
          <w:tcPr>
            <w:tcW w:w="1324" w:type="dxa"/>
            <w:tcBorders>
              <w:top w:val="nil"/>
              <w:left w:val="nil"/>
              <w:bottom w:val="single" w:sz="4" w:space="0" w:color="auto"/>
              <w:right w:val="nil"/>
            </w:tcBorders>
          </w:tcPr>
          <w:p w14:paraId="4C501371"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(0.805)</w:t>
            </w:r>
          </w:p>
        </w:tc>
        <w:tc>
          <w:tcPr>
            <w:tcW w:w="1444" w:type="dxa"/>
            <w:tcBorders>
              <w:top w:val="nil"/>
              <w:left w:val="nil"/>
              <w:bottom w:val="single" w:sz="4" w:space="0" w:color="auto"/>
              <w:right w:val="nil"/>
            </w:tcBorders>
          </w:tcPr>
          <w:p w14:paraId="3706A1E1"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(0.733)</w:t>
            </w:r>
          </w:p>
        </w:tc>
        <w:tc>
          <w:tcPr>
            <w:tcW w:w="1324" w:type="dxa"/>
            <w:tcBorders>
              <w:top w:val="nil"/>
              <w:left w:val="nil"/>
              <w:bottom w:val="single" w:sz="4" w:space="0" w:color="auto"/>
              <w:right w:val="nil"/>
            </w:tcBorders>
          </w:tcPr>
          <w:p w14:paraId="147D07B0"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(1.016)</w:t>
            </w:r>
          </w:p>
        </w:tc>
      </w:tr>
      <w:tr w:rsidR="006D3162" w14:paraId="4CEA0072" w14:textId="77777777" w:rsidTr="00EE23A9">
        <w:trPr>
          <w:trHeight w:val="273"/>
        </w:trPr>
        <w:tc>
          <w:tcPr>
            <w:tcW w:w="2109" w:type="dxa"/>
            <w:tcBorders>
              <w:top w:val="single" w:sz="4" w:space="0" w:color="auto"/>
              <w:left w:val="nil"/>
              <w:bottom w:val="nil"/>
              <w:right w:val="nil"/>
            </w:tcBorders>
          </w:tcPr>
          <w:p w14:paraId="110F3A1B" w14:textId="77777777" w:rsidR="006D3162" w:rsidRPr="00955128" w:rsidRDefault="006D3162" w:rsidP="0005269A">
            <w:pPr>
              <w:adjustRightInd w:val="0"/>
              <w:spacing w:line="240" w:lineRule="auto"/>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Observations</w:t>
            </w:r>
          </w:p>
        </w:tc>
        <w:tc>
          <w:tcPr>
            <w:tcW w:w="1083" w:type="dxa"/>
            <w:tcBorders>
              <w:top w:val="single" w:sz="4" w:space="0" w:color="auto"/>
              <w:left w:val="nil"/>
              <w:bottom w:val="nil"/>
              <w:right w:val="nil"/>
            </w:tcBorders>
          </w:tcPr>
          <w:p w14:paraId="1034D735"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586</w:t>
            </w:r>
          </w:p>
        </w:tc>
        <w:tc>
          <w:tcPr>
            <w:tcW w:w="1324" w:type="dxa"/>
            <w:tcBorders>
              <w:top w:val="single" w:sz="4" w:space="0" w:color="auto"/>
              <w:left w:val="nil"/>
              <w:bottom w:val="nil"/>
              <w:right w:val="nil"/>
            </w:tcBorders>
          </w:tcPr>
          <w:p w14:paraId="5630C4F9"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586</w:t>
            </w:r>
          </w:p>
        </w:tc>
        <w:tc>
          <w:tcPr>
            <w:tcW w:w="1444" w:type="dxa"/>
            <w:tcBorders>
              <w:top w:val="single" w:sz="4" w:space="0" w:color="auto"/>
              <w:left w:val="nil"/>
              <w:bottom w:val="nil"/>
              <w:right w:val="nil"/>
            </w:tcBorders>
          </w:tcPr>
          <w:p w14:paraId="2801718E"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586</w:t>
            </w:r>
          </w:p>
        </w:tc>
        <w:tc>
          <w:tcPr>
            <w:tcW w:w="1324" w:type="dxa"/>
            <w:tcBorders>
              <w:top w:val="single" w:sz="4" w:space="0" w:color="auto"/>
              <w:left w:val="nil"/>
              <w:bottom w:val="nil"/>
              <w:right w:val="nil"/>
            </w:tcBorders>
          </w:tcPr>
          <w:p w14:paraId="5A6E1A0B"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586</w:t>
            </w:r>
          </w:p>
        </w:tc>
      </w:tr>
      <w:tr w:rsidR="006D3162" w14:paraId="302BA401" w14:textId="77777777" w:rsidTr="006D3162">
        <w:trPr>
          <w:trHeight w:val="273"/>
        </w:trPr>
        <w:tc>
          <w:tcPr>
            <w:tcW w:w="2109" w:type="dxa"/>
            <w:tcBorders>
              <w:top w:val="nil"/>
              <w:left w:val="nil"/>
              <w:bottom w:val="nil"/>
              <w:right w:val="nil"/>
            </w:tcBorders>
          </w:tcPr>
          <w:p w14:paraId="481FF732" w14:textId="77777777" w:rsidR="006D3162" w:rsidRPr="00955128" w:rsidRDefault="006D3162" w:rsidP="0005269A">
            <w:pPr>
              <w:adjustRightInd w:val="0"/>
              <w:spacing w:line="240" w:lineRule="auto"/>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R-squared</w:t>
            </w:r>
          </w:p>
        </w:tc>
        <w:tc>
          <w:tcPr>
            <w:tcW w:w="1083" w:type="dxa"/>
            <w:tcBorders>
              <w:top w:val="nil"/>
              <w:left w:val="nil"/>
              <w:bottom w:val="nil"/>
              <w:right w:val="nil"/>
            </w:tcBorders>
          </w:tcPr>
          <w:p w14:paraId="0D5B1494"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0.132</w:t>
            </w:r>
          </w:p>
        </w:tc>
        <w:tc>
          <w:tcPr>
            <w:tcW w:w="1324" w:type="dxa"/>
            <w:tcBorders>
              <w:top w:val="nil"/>
              <w:left w:val="nil"/>
              <w:bottom w:val="nil"/>
              <w:right w:val="nil"/>
            </w:tcBorders>
          </w:tcPr>
          <w:p w14:paraId="7A313C51"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0.181</w:t>
            </w:r>
          </w:p>
        </w:tc>
        <w:tc>
          <w:tcPr>
            <w:tcW w:w="1444" w:type="dxa"/>
            <w:tcBorders>
              <w:top w:val="nil"/>
              <w:left w:val="nil"/>
              <w:bottom w:val="nil"/>
              <w:right w:val="nil"/>
            </w:tcBorders>
          </w:tcPr>
          <w:p w14:paraId="4DE3E55D"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p>
        </w:tc>
        <w:tc>
          <w:tcPr>
            <w:tcW w:w="1324" w:type="dxa"/>
            <w:tcBorders>
              <w:top w:val="nil"/>
              <w:left w:val="nil"/>
              <w:bottom w:val="nil"/>
              <w:right w:val="nil"/>
            </w:tcBorders>
          </w:tcPr>
          <w:p w14:paraId="3AE2F707"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0.248</w:t>
            </w:r>
          </w:p>
        </w:tc>
      </w:tr>
      <w:tr w:rsidR="006D3162" w14:paraId="16FB700A" w14:textId="77777777" w:rsidTr="006D3162">
        <w:tblPrEx>
          <w:tblBorders>
            <w:bottom w:val="single" w:sz="6" w:space="0" w:color="auto"/>
          </w:tblBorders>
        </w:tblPrEx>
        <w:trPr>
          <w:trHeight w:val="255"/>
        </w:trPr>
        <w:tc>
          <w:tcPr>
            <w:tcW w:w="2109" w:type="dxa"/>
            <w:tcBorders>
              <w:top w:val="nil"/>
              <w:left w:val="nil"/>
              <w:bottom w:val="single" w:sz="6" w:space="0" w:color="auto"/>
              <w:right w:val="nil"/>
            </w:tcBorders>
          </w:tcPr>
          <w:p w14:paraId="153F99C0" w14:textId="77777777" w:rsidR="006D3162" w:rsidRPr="00955128" w:rsidRDefault="006D3162" w:rsidP="0005269A">
            <w:pPr>
              <w:adjustRightInd w:val="0"/>
              <w:spacing w:line="240" w:lineRule="auto"/>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Number of idcode</w:t>
            </w:r>
          </w:p>
        </w:tc>
        <w:tc>
          <w:tcPr>
            <w:tcW w:w="1083" w:type="dxa"/>
            <w:tcBorders>
              <w:top w:val="nil"/>
              <w:left w:val="nil"/>
              <w:bottom w:val="single" w:sz="6" w:space="0" w:color="auto"/>
              <w:right w:val="nil"/>
            </w:tcBorders>
          </w:tcPr>
          <w:p w14:paraId="43FA16FE"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76</w:t>
            </w:r>
          </w:p>
        </w:tc>
        <w:tc>
          <w:tcPr>
            <w:tcW w:w="1324" w:type="dxa"/>
            <w:tcBorders>
              <w:top w:val="nil"/>
              <w:left w:val="nil"/>
              <w:bottom w:val="single" w:sz="6" w:space="0" w:color="auto"/>
              <w:right w:val="nil"/>
            </w:tcBorders>
          </w:tcPr>
          <w:p w14:paraId="6C50E99C"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76</w:t>
            </w:r>
          </w:p>
        </w:tc>
        <w:tc>
          <w:tcPr>
            <w:tcW w:w="1444" w:type="dxa"/>
            <w:tcBorders>
              <w:top w:val="nil"/>
              <w:left w:val="nil"/>
              <w:bottom w:val="single" w:sz="6" w:space="0" w:color="auto"/>
              <w:right w:val="nil"/>
            </w:tcBorders>
          </w:tcPr>
          <w:p w14:paraId="771EEF9E"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76</w:t>
            </w:r>
          </w:p>
        </w:tc>
        <w:tc>
          <w:tcPr>
            <w:tcW w:w="1324" w:type="dxa"/>
            <w:tcBorders>
              <w:top w:val="nil"/>
              <w:left w:val="nil"/>
              <w:bottom w:val="single" w:sz="6" w:space="0" w:color="auto"/>
              <w:right w:val="nil"/>
            </w:tcBorders>
          </w:tcPr>
          <w:p w14:paraId="78DB7A9A" w14:textId="77777777" w:rsidR="006D3162" w:rsidRPr="00955128" w:rsidRDefault="006D3162" w:rsidP="0005269A">
            <w:pPr>
              <w:adjustRightInd w:val="0"/>
              <w:spacing w:line="240" w:lineRule="auto"/>
              <w:jc w:val="center"/>
              <w:rPr>
                <w:rFonts w:ascii="HY신명조" w:eastAsia="HY신명조" w:hAnsi="Times New Roman" w:cs="Times New Roman"/>
                <w:sz w:val="17"/>
                <w:szCs w:val="17"/>
              </w:rPr>
            </w:pPr>
            <w:r w:rsidRPr="00955128">
              <w:rPr>
                <w:rFonts w:ascii="HY신명조" w:eastAsia="HY신명조" w:hAnsi="Times New Roman" w:cs="Times New Roman" w:hint="eastAsia"/>
                <w:sz w:val="17"/>
                <w:szCs w:val="17"/>
              </w:rPr>
              <w:t>76</w:t>
            </w:r>
          </w:p>
        </w:tc>
      </w:tr>
    </w:tbl>
    <w:p w14:paraId="04116F22" w14:textId="2BE12E6A" w:rsidR="006D3162" w:rsidRDefault="006D3162" w:rsidP="003671AD">
      <w:pPr>
        <w:widowControl w:val="0"/>
        <w:spacing w:line="420" w:lineRule="auto"/>
        <w:jc w:val="both"/>
        <w:rPr>
          <w:rFonts w:ascii="HY신명조" w:eastAsia="HY신명조" w:hAnsi="나눔고딕" w:cs="나눔고딕"/>
          <w:sz w:val="17"/>
          <w:szCs w:val="17"/>
        </w:rPr>
      </w:pPr>
    </w:p>
    <w:p w14:paraId="613F763B" w14:textId="4116C0F3" w:rsidR="006D3162" w:rsidRDefault="006D3162">
      <w:pPr>
        <w:rPr>
          <w:rFonts w:ascii="HY신명조" w:eastAsia="HY신명조" w:hAnsi="나눔고딕" w:cs="나눔고딕"/>
          <w:sz w:val="20"/>
          <w:szCs w:val="20"/>
        </w:rPr>
      </w:pPr>
      <w:r>
        <w:rPr>
          <w:rFonts w:ascii="HY신명조" w:eastAsia="HY신명조" w:hAnsi="나눔고딕" w:cs="나눔고딕"/>
          <w:sz w:val="20"/>
          <w:szCs w:val="20"/>
        </w:rPr>
        <w:br w:type="page"/>
      </w:r>
    </w:p>
    <w:p w14:paraId="6B274B78" w14:textId="77777777" w:rsidR="00286A95" w:rsidRPr="007F5E62" w:rsidRDefault="00AB748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7F5E62">
        <w:rPr>
          <w:rFonts w:ascii="HY신명조" w:eastAsia="HY신명조" w:hAnsi="나눔고딕" w:cs="나눔고딕" w:hint="eastAsia"/>
          <w:sz w:val="26"/>
          <w:szCs w:val="26"/>
        </w:rPr>
        <w:lastRenderedPageBreak/>
        <w:t>기술혁신과 애널리스트 커버리지의 내생성 검증</w:t>
      </w:r>
    </w:p>
    <w:p w14:paraId="233E8B74" w14:textId="6C77D331" w:rsidR="00286A95" w:rsidRPr="007F5E62" w:rsidRDefault="00AB7484" w:rsidP="00372C73">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이번 장에서는 변수누락(omitted variable)에 따른 내생성(endogeneity)을 검증한다. 기술혁신에 대한 애널리스트 커버리지의 인과적 영향을 검증할 때 관측할 수 없는 변수가 누락될 수 있기 때문에 오차항과 애널리스트 커버리지 변수 사이에 상관관계가 발생할 수 있다. He,</w:t>
      </w:r>
      <w:r w:rsidR="004B295F">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Tian(2013), Barth,</w:t>
      </w:r>
      <w:r w:rsidR="004B295F">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Kasznik,</w:t>
      </w:r>
      <w:r w:rsidR="004B295F">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McNichols</w:t>
      </w:r>
      <w:r w:rsidR="004B295F">
        <w:rPr>
          <w:rFonts w:ascii="HY신명조" w:eastAsia="HY신명조" w:hAnsi="나눔고딕" w:cs="나눔고딕"/>
          <w:sz w:val="20"/>
          <w:szCs w:val="20"/>
        </w:rPr>
        <w:t xml:space="preserve"> </w:t>
      </w:r>
      <w:r w:rsidRPr="007F5E62">
        <w:rPr>
          <w:rFonts w:ascii="HY신명조" w:eastAsia="HY신명조" w:hAnsi="나눔고딕" w:cs="나눔고딕" w:hint="eastAsia"/>
          <w:sz w:val="20"/>
          <w:szCs w:val="20"/>
        </w:rPr>
        <w:t>(2001)에 따르면 애널리스트 커버리지는 기업혁신과 인과적 연관성이 있지만 내</w:t>
      </w:r>
      <w:r w:rsidR="00C73EA7" w:rsidRPr="007F5E62">
        <w:rPr>
          <w:rFonts w:ascii="HY신명조" w:eastAsia="HY신명조" w:hAnsi="나눔고딕" w:cs="나눔고딕" w:hint="eastAsia"/>
          <w:sz w:val="20"/>
          <w:szCs w:val="20"/>
        </w:rPr>
        <w:t>생</w:t>
      </w:r>
      <w:r w:rsidRPr="007F5E62">
        <w:rPr>
          <w:rFonts w:ascii="HY신명조" w:eastAsia="HY신명조" w:hAnsi="나눔고딕" w:cs="나눔고딕" w:hint="eastAsia"/>
          <w:sz w:val="20"/>
          <w:szCs w:val="20"/>
        </w:rPr>
        <w:t>성 문제가 발생하는 것으로 나타났다. 이 내생성을 해결하기 위해서 애널리스트 커버리지의 도구변수(instrumental variable)를 이용하여 2단계</w:t>
      </w:r>
      <w:r w:rsidR="004B295F">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최소제곱법</w:t>
      </w:r>
      <w:r w:rsidR="004B295F">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(2SLS)를 적용했다.</w:t>
      </w:r>
    </w:p>
    <w:p w14:paraId="3178AA6C" w14:textId="4BEDFB55"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애널리스트 커버리지의 도구변수는 Yu(2008), He,</w:t>
      </w:r>
      <w:r w:rsidR="00372C73">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Tian(2013)에서 소개된 증권사 규모에 따라 예상되는 커버리지를 사용했다. Yu(2008)에 따르면 미국 증권사 규모는 자체 실적에 따라 변화하며 애널리스트가 커버하는 기업의 혁신과는 인과성이 미미하다. 따라서 증권사 규모 변화에 따라 예상되는 예상 커버리지수는 애널리스트가 커버하는 기업의 혁신과는 외생적이다. </w:t>
      </w:r>
    </w:p>
    <w:p w14:paraId="7D2EBD6F" w14:textId="03CFC187" w:rsidR="00286A95" w:rsidRPr="007F5E62" w:rsidRDefault="00AB7484"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Yu(2008), He,</w:t>
      </w:r>
      <w:r w:rsidR="00372C73">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Tian(2013)에 따르면 예상 커버리지수를 산출식은 아래와 같다:</w:t>
      </w:r>
    </w:p>
    <w:p w14:paraId="0526411E" w14:textId="77777777" w:rsidR="00286A95" w:rsidRPr="007F5E6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279CBDB1" w14:textId="350CA9C4" w:rsidR="00286A95" w:rsidRPr="007F5E62" w:rsidRDefault="00B91AE2"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r>
          <w:rPr>
            <w:rFonts w:ascii="Cambria Math" w:eastAsia="HY신명조" w:hAnsi="Cambria Math" w:cs="나눔고딕" w:hint="eastAsia"/>
            <w:sz w:val="20"/>
            <w:szCs w:val="20"/>
          </w:rPr>
          <m:t xml:space="preserve">) </m:t>
        </m:r>
        <m:r>
          <w:rPr>
            <w:rFonts w:ascii="Cambria Math" w:eastAsia="HY신명조" w:hAnsi="Cambria Math" w:cs="Cambria Math"/>
            <w:sz w:val="20"/>
            <w:szCs w:val="20"/>
          </w:rPr>
          <m:t>X</m:t>
        </m:r>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Cambria Math" w:hint="eastAsia"/>
                <w:sz w:val="20"/>
                <w:szCs w:val="20"/>
              </w:rPr>
              <m:t>,</m:t>
            </m:r>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7F5E62">
        <w:rPr>
          <w:rFonts w:ascii="HY신명조" w:eastAsia="HY신명조" w:hAnsi="나눔고딕" w:cs="나눔고딕" w:hint="eastAsia"/>
          <w:sz w:val="20"/>
          <w:szCs w:val="20"/>
        </w:rPr>
        <w:tab/>
      </w:r>
      <w:r w:rsidR="00FA054E" w:rsidRPr="007F5E62">
        <w:rPr>
          <w:rFonts w:ascii="HY신명조" w:eastAsia="HY신명조" w:hAnsi="나눔고딕" w:cs="나눔고딕" w:hint="eastAsia"/>
          <w:sz w:val="20"/>
          <w:szCs w:val="20"/>
        </w:rPr>
        <w:tab/>
      </w:r>
      <w:r w:rsidR="00AB7484" w:rsidRPr="007F5E62">
        <w:rPr>
          <w:rFonts w:ascii="HY신명조" w:eastAsia="HY신명조" w:hAnsi="나눔고딕" w:cs="나눔고딕" w:hint="eastAsia"/>
          <w:sz w:val="20"/>
          <w:szCs w:val="20"/>
        </w:rPr>
        <w:t>(2)</w:t>
      </w:r>
    </w:p>
    <w:p w14:paraId="43260611" w14:textId="77777777" w:rsidR="00286A95" w:rsidRPr="007F5E62" w:rsidRDefault="00286A95" w:rsidP="00C831C9">
      <w:pPr>
        <w:widowControl w:val="0"/>
        <w:pBdr>
          <w:top w:val="nil"/>
          <w:left w:val="nil"/>
          <w:bottom w:val="nil"/>
          <w:right w:val="nil"/>
          <w:between w:val="nil"/>
        </w:pBdr>
        <w:spacing w:line="420" w:lineRule="auto"/>
        <w:jc w:val="both"/>
        <w:rPr>
          <w:rFonts w:ascii="HY신명조" w:eastAsia="HY신명조" w:hAnsi="나눔고딕" w:cs="나눔고딕"/>
          <w:sz w:val="20"/>
          <w:szCs w:val="20"/>
        </w:rPr>
      </w:pPr>
    </w:p>
    <w:p w14:paraId="24C3A10E" w14:textId="5F874BEC" w:rsidR="00286A95" w:rsidRPr="007F5E62" w:rsidRDefault="00B91AE2"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nary>
          <m:naryPr>
            <m:chr m:val="∑"/>
            <m:ctrlPr>
              <w:rPr>
                <w:rFonts w:ascii="Cambria Math" w:eastAsia="HY신명조" w:hAnsi="Cambria Math" w:cs="나눔고딕" w:hint="eastAsia"/>
                <w:sz w:val="20"/>
                <w:szCs w:val="20"/>
              </w:rPr>
            </m:ctrlPr>
          </m:naryPr>
          <m:sub>
            <m:r>
              <w:rPr>
                <w:rFonts w:ascii="Cambria Math" w:eastAsia="HY신명조" w:hAnsi="Cambria Math" w:cs="Cambria Math"/>
                <w:sz w:val="20"/>
                <w:szCs w:val="20"/>
              </w:rPr>
              <m:t>j</m:t>
            </m:r>
            <m:r>
              <w:rPr>
                <w:rFonts w:ascii="Cambria Math" w:eastAsia="HY신명조" w:hAnsi="Cambria Math" w:cs="나눔고딕" w:hint="eastAsia"/>
                <w:sz w:val="20"/>
                <w:szCs w:val="20"/>
              </w:rPr>
              <m:t>=1</m:t>
            </m:r>
          </m:sub>
          <m:sup>
            <m:r>
              <w:rPr>
                <w:rFonts w:ascii="Cambria Math" w:eastAsia="HY신명조" w:hAnsi="Cambria Math" w:cs="Cambria Math"/>
                <w:sz w:val="20"/>
                <w:szCs w:val="20"/>
              </w:rPr>
              <m:t>n</m:t>
            </m:r>
          </m:sup>
          <m:e>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e>
        </m:nary>
      </m:oMath>
      <w:r w:rsidR="00AB7484" w:rsidRPr="007F5E62">
        <w:rPr>
          <w:rFonts w:ascii="HY신명조" w:eastAsia="HY신명조" w:hAnsi="나눔고딕" w:cs="나눔고딕" w:hint="eastAsia"/>
          <w:sz w:val="20"/>
          <w:szCs w:val="20"/>
        </w:rPr>
        <w:tab/>
      </w:r>
      <w:r w:rsidR="00AB7484" w:rsidRPr="007F5E62">
        <w:rPr>
          <w:rFonts w:ascii="HY신명조" w:eastAsia="HY신명조" w:hAnsi="나눔고딕" w:cs="나눔고딕" w:hint="eastAsia"/>
          <w:sz w:val="20"/>
          <w:szCs w:val="20"/>
        </w:rPr>
        <w:tab/>
      </w:r>
      <w:r w:rsidR="00AB7484" w:rsidRPr="007F5E62">
        <w:rPr>
          <w:rFonts w:ascii="HY신명조" w:eastAsia="HY신명조" w:hAnsi="나눔고딕" w:cs="나눔고딕" w:hint="eastAsia"/>
          <w:sz w:val="20"/>
          <w:szCs w:val="20"/>
        </w:rPr>
        <w:tab/>
      </w:r>
      <w:r w:rsidR="00AB7484" w:rsidRPr="007F5E62">
        <w:rPr>
          <w:rFonts w:ascii="HY신명조" w:eastAsia="HY신명조" w:hAnsi="나눔고딕" w:cs="나눔고딕" w:hint="eastAsia"/>
          <w:sz w:val="20"/>
          <w:szCs w:val="20"/>
        </w:rPr>
        <w:tab/>
      </w:r>
      <w:r w:rsidR="00AB7484" w:rsidRPr="007F5E62">
        <w:rPr>
          <w:rFonts w:ascii="HY신명조" w:eastAsia="HY신명조" w:hAnsi="나눔고딕" w:cs="나눔고딕" w:hint="eastAsia"/>
          <w:sz w:val="20"/>
          <w:szCs w:val="20"/>
        </w:rPr>
        <w:tab/>
        <w:t>(3)</w:t>
      </w:r>
    </w:p>
    <w:p w14:paraId="000658A0" w14:textId="77777777" w:rsidR="00286A95" w:rsidRPr="007F5E62" w:rsidRDefault="00286A95" w:rsidP="00C831C9">
      <w:pPr>
        <w:widowControl w:val="0"/>
        <w:spacing w:line="420" w:lineRule="auto"/>
        <w:jc w:val="both"/>
        <w:rPr>
          <w:rFonts w:ascii="HY신명조" w:eastAsia="HY신명조" w:hAnsi="나눔고딕" w:cs="나눔고딕"/>
          <w:sz w:val="20"/>
          <w:szCs w:val="20"/>
        </w:rPr>
      </w:pPr>
    </w:p>
    <w:p w14:paraId="0E82B0FE" w14:textId="406E90AA" w:rsidR="00286A95" w:rsidRPr="007F5E62" w:rsidRDefault="00B91AE2" w:rsidP="00C831C9">
      <w:pPr>
        <w:widowControl w:val="0"/>
        <w:spacing w:line="420" w:lineRule="auto"/>
        <w:jc w:val="both"/>
        <w:rPr>
          <w:rFonts w:ascii="HY신명조" w:eastAsia="HY신명조" w:hAnsi="나눔고딕" w:cs="나눔고딕"/>
          <w:sz w:val="20"/>
          <w:szCs w:val="20"/>
        </w:rPr>
      </w:pP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oMath>
      <w:r w:rsidR="00AB7484" w:rsidRPr="007F5E62">
        <w:rPr>
          <w:rFonts w:ascii="HY신명조" w:eastAsia="HY신명조" w:hAnsi="나눔고딕" w:cs="나눔고딕" w:hint="eastAsia"/>
          <w:sz w:val="20"/>
          <w:szCs w:val="20"/>
        </w:rPr>
        <w:t xml:space="preserve">는 t 연도에 j 증권사에서 예상되는 i 기업의 커버리지 합산이며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Cambria Math"/>
                <w:sz w:val="20"/>
                <w:szCs w:val="20"/>
              </w:rPr>
              <m:t>t</m:t>
            </m:r>
            <m:r>
              <w:rPr>
                <w:rFonts w:ascii="Cambria Math" w:eastAsia="HY신명조" w:hAnsi="Cambria Math" w:cs="나눔고딕" w:hint="eastAsia"/>
                <w:sz w:val="20"/>
                <w:szCs w:val="20"/>
              </w:rPr>
              <m:t>,</m:t>
            </m:r>
            <m:r>
              <w:rPr>
                <w:rFonts w:ascii="Cambria Math" w:eastAsia="HY신명조" w:hAnsi="Cambria Math" w:cs="Cambria Math"/>
                <w:sz w:val="20"/>
                <w:szCs w:val="20"/>
              </w:rPr>
              <m:t>j</m:t>
            </m:r>
          </m:sub>
        </m:sSub>
      </m:oMath>
      <w:r w:rsidR="00AB7484" w:rsidRPr="007F5E62">
        <w:rPr>
          <w:rFonts w:ascii="HY신명조" w:eastAsia="HY신명조" w:hAnsi="나눔고딕" w:cs="나눔고딕" w:hint="eastAsia"/>
          <w:sz w:val="20"/>
          <w:szCs w:val="20"/>
        </w:rPr>
        <w:t>는 t 연도 j 증권사의 임직원수이며</w:t>
      </w:r>
      <w:r w:rsidR="00AB2546" w:rsidRPr="007F5E62">
        <w:rPr>
          <w:rFonts w:ascii="HY신명조" w:eastAsia="HY신명조" w:hAnsi="나눔고딕" w:cs="나눔고딕" w:hint="eastAsia"/>
          <w:sz w:val="20"/>
          <w:szCs w:val="20"/>
        </w:rPr>
        <w:t xml:space="preserve">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Brokersize</m:t>
            </m:r>
          </m:e>
          <m:sub>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7F5E62">
        <w:rPr>
          <w:rFonts w:ascii="HY신명조" w:eastAsia="HY신명조" w:hAnsi="나눔고딕" w:cs="나눔고딕" w:hint="eastAsia"/>
          <w:sz w:val="20"/>
          <w:szCs w:val="20"/>
        </w:rPr>
        <w:t xml:space="preserve"> 는 본 연구의 초기 연도인 2003년 </w:t>
      </w:r>
      <w:r w:rsidR="00AB2546" w:rsidRPr="007F5E62">
        <w:rPr>
          <w:rFonts w:ascii="HY신명조" w:eastAsia="HY신명조" w:hAnsi="나눔고딕" w:cs="나눔고딕" w:hint="eastAsia"/>
          <w:sz w:val="20"/>
          <w:szCs w:val="20"/>
        </w:rPr>
        <w:t>j</w:t>
      </w:r>
      <w:r w:rsidR="00AB7484" w:rsidRPr="007F5E62">
        <w:rPr>
          <w:rFonts w:ascii="HY신명조" w:eastAsia="HY신명조" w:hAnsi="나눔고딕" w:cs="나눔고딕" w:hint="eastAsia"/>
          <w:sz w:val="20"/>
          <w:szCs w:val="20"/>
        </w:rPr>
        <w:t xml:space="preserve"> 증권사의 임직원수이다.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Coverage</m:t>
            </m:r>
          </m:e>
          <m:sub>
            <m:r>
              <w:rPr>
                <w:rFonts w:ascii="Cambria Math" w:eastAsia="HY신명조" w:hAnsi="Cambria Math" w:cs="Cambria Math"/>
                <w:sz w:val="20"/>
                <w:szCs w:val="20"/>
              </w:rPr>
              <m:t>i</m:t>
            </m:r>
            <m:r>
              <w:rPr>
                <w:rFonts w:ascii="Cambria Math" w:eastAsia="HY신명조" w:hAnsi="Cambria Math" w:cs="Cambria Math" w:hint="eastAsia"/>
                <w:sz w:val="20"/>
                <w:szCs w:val="20"/>
              </w:rPr>
              <m:t>,</m:t>
            </m:r>
            <m:r>
              <w:rPr>
                <w:rFonts w:ascii="Cambria Math" w:eastAsia="HY신명조" w:hAnsi="Cambria Math" w:cs="나눔고딕" w:hint="eastAsia"/>
                <w:sz w:val="20"/>
                <w:szCs w:val="20"/>
              </w:rPr>
              <m:t>0,</m:t>
            </m:r>
            <m:r>
              <w:rPr>
                <w:rFonts w:ascii="Cambria Math" w:eastAsia="HY신명조" w:hAnsi="Cambria Math" w:cs="Cambria Math"/>
                <w:sz w:val="20"/>
                <w:szCs w:val="20"/>
              </w:rPr>
              <m:t>j</m:t>
            </m:r>
          </m:sub>
        </m:sSub>
      </m:oMath>
      <w:r w:rsidR="00AB7484" w:rsidRPr="007F5E62">
        <w:rPr>
          <w:rFonts w:ascii="HY신명조" w:eastAsia="HY신명조" w:hAnsi="나눔고딕" w:cs="나눔고딕" w:hint="eastAsia"/>
          <w:sz w:val="20"/>
          <w:szCs w:val="20"/>
        </w:rPr>
        <w:t xml:space="preserve">는 초기연도 2003년 </w:t>
      </w:r>
      <w:r w:rsidR="00AB2546" w:rsidRPr="007F5E62">
        <w:rPr>
          <w:rFonts w:ascii="HY신명조" w:eastAsia="HY신명조" w:hAnsi="나눔고딕" w:cs="나눔고딕" w:hint="eastAsia"/>
          <w:sz w:val="20"/>
          <w:szCs w:val="20"/>
        </w:rPr>
        <w:t>j</w:t>
      </w:r>
      <w:r w:rsidR="00AB7484" w:rsidRPr="007F5E62">
        <w:rPr>
          <w:rFonts w:ascii="HY신명조" w:eastAsia="HY신명조" w:hAnsi="나눔고딕" w:cs="나눔고딕" w:hint="eastAsia"/>
          <w:sz w:val="20"/>
          <w:szCs w:val="20"/>
        </w:rPr>
        <w:t xml:space="preserve"> 증권사의 애널리스트가 i 기업 관련 발간한 보고서 합산값이다. </w:t>
      </w:r>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oMath>
      <w:r w:rsidR="00AB7484" w:rsidRPr="007F5E62">
        <w:rPr>
          <w:rFonts w:ascii="HY신명조" w:eastAsia="HY신명조" w:hAnsi="나눔고딕" w:cs="나눔고딕" w:hint="eastAsia"/>
          <w:sz w:val="20"/>
          <w:szCs w:val="20"/>
        </w:rPr>
        <w:t>는 증권사 임직원의 증감에 따른 t 연도 i 기업 커버리지의 예상 총합산값이다.</w:t>
      </w:r>
    </w:p>
    <w:p w14:paraId="46CCC2F6" w14:textId="35319516" w:rsidR="00286A95" w:rsidRDefault="00AB7484" w:rsidP="00C831C9">
      <w:pPr>
        <w:widowControl w:val="0"/>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lastRenderedPageBreak/>
        <w:t xml:space="preserve">Yu(2008)에서는 </w:t>
      </w:r>
      <m:oMath>
        <m:r>
          <w:rPr>
            <w:rFonts w:ascii="Cambria Math" w:eastAsia="HY신명조" w:hAnsi="Cambria Math" w:cs="Cambria Math"/>
            <w:sz w:val="20"/>
            <w:szCs w:val="20"/>
          </w:rPr>
          <m:t>Brokersize</m:t>
        </m:r>
      </m:oMath>
      <w:r w:rsidRPr="007F5E62">
        <w:rPr>
          <w:rFonts w:ascii="HY신명조" w:eastAsia="HY신명조" w:hAnsi="나눔고딕" w:cs="나눔고딕" w:hint="eastAsia"/>
          <w:sz w:val="20"/>
          <w:szCs w:val="20"/>
        </w:rPr>
        <w:t>를 각 증권사의 애널리스트수로 계산했으나 본 연구는 애널리스트가 소속되어 있는 증권사의 총 임직원수로 대체했다. 애널리스트의 커버리지 보고서는 애널리스트가 기업에 대한 영향력을 발휘하기 위한 출발점인 동시에 기관, 개인, 연기금 등 다양한 투자자를 대상으로 영업을 진행하는 브로커들의 영업 자료이다. 또한 법인, IB, 발행, 파생 등 다양한 임직원이 애널리스트의 보고서와 이해관계를 가지기 때문에 증권사의 규모를 애널리스트수</w:t>
      </w:r>
      <w:r w:rsidR="00CF0E47" w:rsidRPr="007F5E62">
        <w:rPr>
          <w:rFonts w:ascii="HY신명조" w:eastAsia="HY신명조" w:hAnsi="나눔고딕" w:cs="나눔고딕" w:hint="eastAsia"/>
          <w:sz w:val="20"/>
          <w:szCs w:val="20"/>
        </w:rPr>
        <w:t>로 한정하는</w:t>
      </w:r>
      <w:r w:rsidRPr="007F5E62">
        <w:rPr>
          <w:rFonts w:ascii="HY신명조" w:eastAsia="HY신명조" w:hAnsi="나눔고딕" w:cs="나눔고딕" w:hint="eastAsia"/>
          <w:sz w:val="20"/>
          <w:szCs w:val="20"/>
        </w:rPr>
        <w:t xml:space="preserve"> 대신에 총 임직원수로 </w:t>
      </w:r>
      <w:r w:rsidR="00CF0E47" w:rsidRPr="007F5E62">
        <w:rPr>
          <w:rFonts w:ascii="HY신명조" w:eastAsia="HY신명조" w:hAnsi="나눔고딕" w:cs="나눔고딕" w:hint="eastAsia"/>
          <w:sz w:val="20"/>
          <w:szCs w:val="20"/>
        </w:rPr>
        <w:t>확대했다.</w:t>
      </w:r>
    </w:p>
    <w:p w14:paraId="4A314256" w14:textId="0D354333" w:rsidR="00A244A0" w:rsidRDefault="00A244A0">
      <w:pPr>
        <w:rPr>
          <w:rFonts w:ascii="HY신명조" w:eastAsia="HY신명조" w:hAnsi="나눔고딕" w:cs="나눔고딕"/>
          <w:sz w:val="20"/>
          <w:szCs w:val="20"/>
        </w:rPr>
      </w:pPr>
      <w:r>
        <w:rPr>
          <w:rFonts w:ascii="HY신명조" w:eastAsia="HY신명조" w:hAnsi="나눔고딕" w:cs="나눔고딕"/>
          <w:sz w:val="20"/>
          <w:szCs w:val="20"/>
        </w:rPr>
        <w:br w:type="page"/>
      </w:r>
    </w:p>
    <w:p w14:paraId="5962A6EB" w14:textId="77777777" w:rsidR="00D02165" w:rsidRPr="007F5E62" w:rsidRDefault="00D02165" w:rsidP="00A244A0">
      <w:pPr>
        <w:widowControl w:val="0"/>
        <w:spacing w:line="420" w:lineRule="auto"/>
        <w:jc w:val="center"/>
        <w:rPr>
          <w:rFonts w:ascii="HY신명조" w:eastAsia="HY신명조" w:hAnsi="나눔고딕"/>
          <w:sz w:val="20"/>
          <w:szCs w:val="20"/>
        </w:rPr>
      </w:pPr>
      <w:r w:rsidRPr="007F5E62">
        <w:rPr>
          <w:rFonts w:ascii="HY신명조" w:eastAsia="HY신명조" w:hAnsi="나눔고딕" w:cs="나눔고딕" w:hint="eastAsia"/>
          <w:sz w:val="20"/>
          <w:szCs w:val="20"/>
        </w:rPr>
        <w:lastRenderedPageBreak/>
        <w:t>&lt;표</w:t>
      </w:r>
      <w:r>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4&gt; 도구변수를 이용한 2SLS의 결과</w:t>
      </w:r>
    </w:p>
    <w:p w14:paraId="237FE5D5" w14:textId="77777777" w:rsidR="009E4C24" w:rsidRDefault="00D02165" w:rsidP="009E4C24">
      <w:pPr>
        <w:widowControl w:val="0"/>
        <w:spacing w:line="420" w:lineRule="auto"/>
        <w:jc w:val="both"/>
        <w:rPr>
          <w:rFonts w:ascii="HY신명조" w:eastAsia="HY신명조" w:hAnsi="나눔고딕" w:cs="나눔고딕"/>
          <w:sz w:val="17"/>
          <w:szCs w:val="17"/>
        </w:rPr>
      </w:pPr>
      <w:r w:rsidRPr="00D02165">
        <w:rPr>
          <w:rFonts w:ascii="HY신명조" w:eastAsia="HY신명조" w:hAnsi="나눔고딕" w:cs="나눔고딕" w:hint="eastAsia"/>
          <w:sz w:val="17"/>
          <w:szCs w:val="17"/>
          <w:lang w:eastAsia="ko"/>
        </w:rPr>
        <w:t>이 표는 예상되는 애널리스트의 커버리지수(Expcoverage)를 도구변수로 선택한 후 2단계 최소제곱법을 진행한 결과임. 1단계에서 lexpcoverage는 양의 계수이고 t값이 매우 크기 때문에 도구변수와 내생적인 설명변수(coverage)는 서로 강하게 연관됨. 따라서 2단계 추정을 진행한 결과 내생성을 제거했을 때 역시 애널리스트 커버리지는 기업 혁신에 10% 유의수준에서 양의 관계가 나타남</w:t>
      </w:r>
      <w:r w:rsidR="009E4C24">
        <w:rPr>
          <w:rFonts w:ascii="HY신명조" w:eastAsia="HY신명조" w:hAnsi="나눔고딕" w:cs="나눔고딕" w:hint="eastAsia"/>
          <w:sz w:val="17"/>
          <w:szCs w:val="17"/>
        </w:rPr>
        <w:t>.</w:t>
      </w:r>
      <w:r w:rsidR="009E4C24">
        <w:rPr>
          <w:rFonts w:ascii="HY신명조" w:eastAsia="HY신명조" w:hAnsi="나눔고딕" w:cs="나눔고딕"/>
          <w:sz w:val="17"/>
          <w:szCs w:val="17"/>
        </w:rPr>
        <w:t xml:space="preserve"> </w:t>
      </w:r>
      <w:r w:rsidR="009E4C24" w:rsidRPr="0038102F">
        <w:rPr>
          <w:rFonts w:ascii="HY신명조" w:eastAsia="HY신명조" w:hAnsi="나눔고딕" w:cs="나눔고딕"/>
          <w:sz w:val="17"/>
          <w:szCs w:val="17"/>
          <w:vertAlign w:val="superscript"/>
        </w:rPr>
        <w:t>***</w:t>
      </w:r>
      <w:r w:rsidR="009E4C24">
        <w:rPr>
          <w:rFonts w:ascii="HY신명조" w:eastAsia="HY신명조" w:hAnsi="나눔고딕" w:cs="나눔고딕" w:hint="eastAsia"/>
          <w:sz w:val="17"/>
          <w:szCs w:val="17"/>
        </w:rPr>
        <w:t>,</w:t>
      </w:r>
      <w:r w:rsidR="009E4C24">
        <w:rPr>
          <w:rFonts w:ascii="HY신명조" w:eastAsia="HY신명조" w:hAnsi="나눔고딕" w:cs="나눔고딕"/>
          <w:sz w:val="17"/>
          <w:szCs w:val="17"/>
        </w:rPr>
        <w:t xml:space="preserve"> </w:t>
      </w:r>
      <w:r w:rsidR="009E4C24" w:rsidRPr="0038102F">
        <w:rPr>
          <w:rFonts w:ascii="HY신명조" w:eastAsia="HY신명조" w:hAnsi="나눔고딕" w:cs="나눔고딕"/>
          <w:sz w:val="17"/>
          <w:szCs w:val="17"/>
          <w:vertAlign w:val="superscript"/>
        </w:rPr>
        <w:t>**</w:t>
      </w:r>
      <w:r w:rsidR="009E4C24">
        <w:rPr>
          <w:rFonts w:ascii="HY신명조" w:eastAsia="HY신명조" w:hAnsi="나눔고딕" w:cs="나눔고딕" w:hint="eastAsia"/>
          <w:sz w:val="17"/>
          <w:szCs w:val="17"/>
        </w:rPr>
        <w:t>,</w:t>
      </w:r>
      <w:r w:rsidR="009E4C24" w:rsidRPr="003671AD">
        <w:rPr>
          <w:rFonts w:ascii="HY신명조" w:eastAsia="HY신명조" w:hAnsi="나눔고딕" w:cs="나눔고딕"/>
          <w:sz w:val="17"/>
          <w:szCs w:val="17"/>
        </w:rPr>
        <w:t xml:space="preserve"> </w:t>
      </w:r>
      <w:r w:rsidR="009E4C24" w:rsidRPr="0038102F">
        <w:rPr>
          <w:rFonts w:ascii="HY신명조" w:eastAsia="HY신명조" w:hAnsi="나눔고딕" w:cs="나눔고딕"/>
          <w:sz w:val="17"/>
          <w:szCs w:val="17"/>
          <w:vertAlign w:val="superscript"/>
        </w:rPr>
        <w:t>*</w:t>
      </w:r>
      <w:r w:rsidR="009E4C24">
        <w:rPr>
          <w:rFonts w:ascii="HY신명조" w:eastAsia="HY신명조" w:hAnsi="나눔고딕" w:cs="나눔고딕"/>
          <w:sz w:val="17"/>
          <w:szCs w:val="17"/>
        </w:rPr>
        <w:t>는</w:t>
      </w:r>
      <w:r w:rsidR="009E4C24">
        <w:rPr>
          <w:rFonts w:ascii="HY신명조" w:eastAsia="HY신명조" w:hAnsi="나눔고딕" w:cs="나눔고딕" w:hint="eastAsia"/>
          <w:sz w:val="17"/>
          <w:szCs w:val="17"/>
        </w:rPr>
        <w:t xml:space="preserve"> 각각</w:t>
      </w:r>
      <w:r w:rsidR="009E4C24">
        <w:rPr>
          <w:rFonts w:ascii="HY신명조" w:eastAsia="HY신명조" w:hAnsi="나눔고딕" w:cs="나눔고딕"/>
          <w:sz w:val="17"/>
          <w:szCs w:val="17"/>
        </w:rPr>
        <w:t xml:space="preserve"> </w:t>
      </w:r>
      <w:r w:rsidR="009E4C24">
        <w:rPr>
          <w:rFonts w:ascii="HY신명조" w:eastAsia="HY신명조" w:hAnsi="나눔고딕" w:cs="나눔고딕" w:hint="eastAsia"/>
          <w:sz w:val="17"/>
          <w:szCs w:val="17"/>
        </w:rPr>
        <w:t>1%,</w:t>
      </w:r>
      <w:r w:rsidR="009E4C24">
        <w:rPr>
          <w:rFonts w:ascii="HY신명조" w:eastAsia="HY신명조" w:hAnsi="나눔고딕" w:cs="나눔고딕"/>
          <w:sz w:val="17"/>
          <w:szCs w:val="17"/>
        </w:rPr>
        <w:t xml:space="preserve"> </w:t>
      </w:r>
      <w:r w:rsidR="009E4C24">
        <w:rPr>
          <w:rFonts w:ascii="HY신명조" w:eastAsia="HY신명조" w:hAnsi="나눔고딕" w:cs="나눔고딕" w:hint="eastAsia"/>
          <w:sz w:val="17"/>
          <w:szCs w:val="17"/>
        </w:rPr>
        <w:t>5%</w:t>
      </w:r>
      <w:r w:rsidR="009E4C24">
        <w:rPr>
          <w:rFonts w:ascii="HY신명조" w:eastAsia="HY신명조" w:hAnsi="나눔고딕" w:cs="나눔고딕"/>
          <w:sz w:val="17"/>
          <w:szCs w:val="17"/>
        </w:rPr>
        <w:t xml:space="preserve"> </w:t>
      </w:r>
      <w:r w:rsidR="009E4C24">
        <w:rPr>
          <w:rFonts w:ascii="HY신명조" w:eastAsia="HY신명조" w:hAnsi="나눔고딕" w:cs="나눔고딕" w:hint="eastAsia"/>
          <w:sz w:val="17"/>
          <w:szCs w:val="17"/>
        </w:rPr>
        <w:t>및 10%(양측)에서 통계적으로 유의함을 표시함</w:t>
      </w:r>
    </w:p>
    <w:p w14:paraId="7AABF0F1" w14:textId="7CA0D89F" w:rsidR="00D02165" w:rsidRDefault="00D02165" w:rsidP="00D02165">
      <w:pPr>
        <w:widowControl w:val="0"/>
        <w:spacing w:line="420" w:lineRule="auto"/>
        <w:jc w:val="both"/>
        <w:rPr>
          <w:rFonts w:ascii="HY신명조" w:eastAsia="HY신명조" w:hAnsi="나눔고딕" w:cs="나눔고딕"/>
          <w:sz w:val="17"/>
          <w:szCs w:val="17"/>
          <w:lang w:eastAsia="ko"/>
        </w:rPr>
      </w:pPr>
    </w:p>
    <w:tbl>
      <w:tblPr>
        <w:tblW w:w="0" w:type="auto"/>
        <w:jc w:val="center"/>
        <w:tblLayout w:type="fixed"/>
        <w:tblCellMar>
          <w:left w:w="75" w:type="dxa"/>
          <w:right w:w="75" w:type="dxa"/>
        </w:tblCellMar>
        <w:tblLook w:val="0000" w:firstRow="0" w:lastRow="0" w:firstColumn="0" w:lastColumn="0" w:noHBand="0" w:noVBand="0"/>
      </w:tblPr>
      <w:tblGrid>
        <w:gridCol w:w="2523"/>
        <w:gridCol w:w="1584"/>
        <w:gridCol w:w="1584"/>
      </w:tblGrid>
      <w:tr w:rsidR="00A244A0" w:rsidRPr="0033081B" w14:paraId="4D45691B" w14:textId="77777777" w:rsidTr="0005269A">
        <w:trPr>
          <w:jc w:val="center"/>
        </w:trPr>
        <w:tc>
          <w:tcPr>
            <w:tcW w:w="2523" w:type="dxa"/>
            <w:tcBorders>
              <w:top w:val="single" w:sz="6" w:space="0" w:color="auto"/>
              <w:left w:val="nil"/>
              <w:bottom w:val="nil"/>
              <w:right w:val="nil"/>
            </w:tcBorders>
          </w:tcPr>
          <w:p w14:paraId="48E2552F"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single" w:sz="6" w:space="0" w:color="auto"/>
              <w:left w:val="nil"/>
              <w:bottom w:val="nil"/>
              <w:right w:val="nil"/>
            </w:tcBorders>
          </w:tcPr>
          <w:p w14:paraId="2DEACD1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1열</w:t>
            </w:r>
          </w:p>
        </w:tc>
        <w:tc>
          <w:tcPr>
            <w:tcW w:w="1584" w:type="dxa"/>
            <w:tcBorders>
              <w:top w:val="single" w:sz="6" w:space="0" w:color="auto"/>
              <w:left w:val="nil"/>
              <w:bottom w:val="nil"/>
              <w:right w:val="nil"/>
            </w:tcBorders>
          </w:tcPr>
          <w:p w14:paraId="23CB6744"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2열</w:t>
            </w:r>
          </w:p>
        </w:tc>
      </w:tr>
      <w:tr w:rsidR="00A244A0" w:rsidRPr="0033081B" w14:paraId="5AEB6ACB" w14:textId="77777777" w:rsidTr="0005269A">
        <w:trPr>
          <w:jc w:val="center"/>
        </w:trPr>
        <w:tc>
          <w:tcPr>
            <w:tcW w:w="2523" w:type="dxa"/>
            <w:tcBorders>
              <w:top w:val="nil"/>
              <w:left w:val="nil"/>
              <w:bottom w:val="single" w:sz="6" w:space="0" w:color="auto"/>
              <w:right w:val="nil"/>
            </w:tcBorders>
          </w:tcPr>
          <w:p w14:paraId="7ADDFCA2"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변수</w:t>
            </w:r>
          </w:p>
        </w:tc>
        <w:tc>
          <w:tcPr>
            <w:tcW w:w="1584" w:type="dxa"/>
            <w:tcBorders>
              <w:top w:val="nil"/>
              <w:left w:val="nil"/>
              <w:bottom w:val="single" w:sz="6" w:space="0" w:color="auto"/>
              <w:right w:val="nil"/>
            </w:tcBorders>
          </w:tcPr>
          <w:p w14:paraId="3131CC29"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lcoverage</w:t>
            </w:r>
          </w:p>
        </w:tc>
        <w:tc>
          <w:tcPr>
            <w:tcW w:w="1584" w:type="dxa"/>
            <w:tcBorders>
              <w:top w:val="nil"/>
              <w:left w:val="nil"/>
              <w:bottom w:val="single" w:sz="6" w:space="0" w:color="auto"/>
              <w:right w:val="nil"/>
            </w:tcBorders>
          </w:tcPr>
          <w:p w14:paraId="5E721DBB"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lpatent3</w:t>
            </w:r>
          </w:p>
        </w:tc>
      </w:tr>
      <w:tr w:rsidR="00E1715D" w:rsidRPr="0033081B" w14:paraId="43845D1E" w14:textId="77777777" w:rsidTr="00E1715D">
        <w:trPr>
          <w:jc w:val="center"/>
        </w:trPr>
        <w:tc>
          <w:tcPr>
            <w:tcW w:w="2523" w:type="dxa"/>
            <w:tcBorders>
              <w:top w:val="nil"/>
              <w:left w:val="nil"/>
              <w:right w:val="nil"/>
            </w:tcBorders>
          </w:tcPr>
          <w:p w14:paraId="3A1A896E" w14:textId="77777777" w:rsidR="00E1715D" w:rsidRPr="0033081B" w:rsidRDefault="00E1715D" w:rsidP="00E1715D">
            <w:pPr>
              <w:adjustRightInd w:val="0"/>
              <w:spacing w:line="240" w:lineRule="auto"/>
              <w:rPr>
                <w:rFonts w:ascii="HY신명조" w:eastAsia="HY신명조" w:hAnsi="Times New Roman" w:cs="Times New Roman"/>
                <w:sz w:val="17"/>
                <w:szCs w:val="17"/>
              </w:rPr>
            </w:pPr>
          </w:p>
        </w:tc>
        <w:tc>
          <w:tcPr>
            <w:tcW w:w="1584" w:type="dxa"/>
            <w:tcBorders>
              <w:top w:val="nil"/>
              <w:left w:val="nil"/>
              <w:right w:val="nil"/>
            </w:tcBorders>
          </w:tcPr>
          <w:p w14:paraId="2717060C" w14:textId="2BF59531" w:rsidR="00E1715D" w:rsidRPr="0033081B" w:rsidRDefault="00E1715D" w:rsidP="00E1715D">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c>
          <w:tcPr>
            <w:tcW w:w="1584" w:type="dxa"/>
            <w:tcBorders>
              <w:top w:val="nil"/>
              <w:left w:val="nil"/>
              <w:right w:val="nil"/>
            </w:tcBorders>
          </w:tcPr>
          <w:p w14:paraId="394FBFF8" w14:textId="07694CA6" w:rsidR="00E1715D" w:rsidRPr="0033081B" w:rsidRDefault="00E1715D" w:rsidP="00E1715D">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베타계수</w:t>
            </w:r>
          </w:p>
        </w:tc>
      </w:tr>
      <w:tr w:rsidR="00E1715D" w:rsidRPr="0033081B" w14:paraId="150AE316" w14:textId="77777777" w:rsidTr="0005269A">
        <w:trPr>
          <w:jc w:val="center"/>
        </w:trPr>
        <w:tc>
          <w:tcPr>
            <w:tcW w:w="2523" w:type="dxa"/>
            <w:tcBorders>
              <w:top w:val="nil"/>
              <w:left w:val="nil"/>
              <w:bottom w:val="single" w:sz="6" w:space="0" w:color="auto"/>
              <w:right w:val="nil"/>
            </w:tcBorders>
          </w:tcPr>
          <w:p w14:paraId="5DE84B7B" w14:textId="77777777" w:rsidR="00E1715D" w:rsidRPr="0033081B" w:rsidRDefault="00E1715D" w:rsidP="00E1715D">
            <w:pPr>
              <w:adjustRightInd w:val="0"/>
              <w:spacing w:line="240" w:lineRule="auto"/>
              <w:rPr>
                <w:rFonts w:ascii="HY신명조" w:eastAsia="HY신명조" w:hAnsi="Times New Roman" w:cs="Times New Roman"/>
                <w:sz w:val="17"/>
                <w:szCs w:val="17"/>
              </w:rPr>
            </w:pPr>
          </w:p>
        </w:tc>
        <w:tc>
          <w:tcPr>
            <w:tcW w:w="1584" w:type="dxa"/>
            <w:tcBorders>
              <w:top w:val="nil"/>
              <w:left w:val="nil"/>
              <w:bottom w:val="single" w:sz="6" w:space="0" w:color="auto"/>
              <w:right w:val="nil"/>
            </w:tcBorders>
          </w:tcPr>
          <w:p w14:paraId="33A48786" w14:textId="6DAE3998" w:rsidR="00E1715D" w:rsidRPr="0033081B" w:rsidRDefault="00E1715D" w:rsidP="00E1715D">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c>
          <w:tcPr>
            <w:tcW w:w="1584" w:type="dxa"/>
            <w:tcBorders>
              <w:top w:val="nil"/>
              <w:left w:val="nil"/>
              <w:bottom w:val="single" w:sz="6" w:space="0" w:color="auto"/>
              <w:right w:val="nil"/>
            </w:tcBorders>
          </w:tcPr>
          <w:p w14:paraId="49EFF15A" w14:textId="4FE46C63" w:rsidR="00E1715D" w:rsidRPr="0033081B" w:rsidRDefault="00E1715D" w:rsidP="00E1715D">
            <w:pPr>
              <w:adjustRightInd w:val="0"/>
              <w:spacing w:line="240" w:lineRule="auto"/>
              <w:jc w:val="center"/>
              <w:rPr>
                <w:rFonts w:ascii="HY신명조" w:eastAsia="HY신명조" w:hAnsi="Times New Roman" w:cs="Times New Roman"/>
                <w:sz w:val="17"/>
                <w:szCs w:val="17"/>
              </w:rPr>
            </w:pPr>
            <w:r>
              <w:rPr>
                <w:rFonts w:ascii="HY신명조" w:eastAsia="HY신명조" w:hAnsi="Times New Roman" w:cs="Times New Roman" w:hint="eastAsia"/>
                <w:sz w:val="17"/>
                <w:szCs w:val="17"/>
              </w:rPr>
              <w:t>(표준오차)</w:t>
            </w:r>
          </w:p>
        </w:tc>
      </w:tr>
      <w:tr w:rsidR="00A244A0" w:rsidRPr="0033081B" w14:paraId="5063394F" w14:textId="77777777" w:rsidTr="0005269A">
        <w:trPr>
          <w:jc w:val="center"/>
        </w:trPr>
        <w:tc>
          <w:tcPr>
            <w:tcW w:w="2523" w:type="dxa"/>
            <w:tcBorders>
              <w:top w:val="nil"/>
              <w:left w:val="nil"/>
              <w:bottom w:val="nil"/>
              <w:right w:val="nil"/>
            </w:tcBorders>
          </w:tcPr>
          <w:p w14:paraId="146CE21D"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ln(예상커버리지수)</w:t>
            </w:r>
          </w:p>
        </w:tc>
        <w:tc>
          <w:tcPr>
            <w:tcW w:w="1584" w:type="dxa"/>
            <w:tcBorders>
              <w:top w:val="nil"/>
              <w:left w:val="nil"/>
              <w:bottom w:val="nil"/>
              <w:right w:val="nil"/>
            </w:tcBorders>
          </w:tcPr>
          <w:p w14:paraId="302B2962"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0.921</w:t>
            </w:r>
            <w:r w:rsidRPr="0033081B">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02DF6CF2"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p>
        </w:tc>
      </w:tr>
      <w:tr w:rsidR="00A244A0" w:rsidRPr="0033081B" w14:paraId="7391F1EB" w14:textId="77777777" w:rsidTr="0005269A">
        <w:trPr>
          <w:jc w:val="center"/>
        </w:trPr>
        <w:tc>
          <w:tcPr>
            <w:tcW w:w="2523" w:type="dxa"/>
            <w:tcBorders>
              <w:top w:val="nil"/>
              <w:left w:val="nil"/>
              <w:bottom w:val="nil"/>
              <w:right w:val="nil"/>
            </w:tcBorders>
          </w:tcPr>
          <w:p w14:paraId="099A6ACA"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03FF7EC2"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(0.0104)</w:t>
            </w:r>
          </w:p>
        </w:tc>
        <w:tc>
          <w:tcPr>
            <w:tcW w:w="1584" w:type="dxa"/>
            <w:tcBorders>
              <w:top w:val="nil"/>
              <w:left w:val="nil"/>
              <w:bottom w:val="nil"/>
              <w:right w:val="nil"/>
            </w:tcBorders>
          </w:tcPr>
          <w:p w14:paraId="7BAE94D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p>
        </w:tc>
      </w:tr>
      <w:tr w:rsidR="00A244A0" w:rsidRPr="0033081B" w14:paraId="39AE89DB" w14:textId="77777777" w:rsidTr="0005269A">
        <w:trPr>
          <w:jc w:val="center"/>
        </w:trPr>
        <w:tc>
          <w:tcPr>
            <w:tcW w:w="2523" w:type="dxa"/>
            <w:tcBorders>
              <w:top w:val="nil"/>
              <w:left w:val="nil"/>
              <w:bottom w:val="nil"/>
              <w:right w:val="nil"/>
            </w:tcBorders>
          </w:tcPr>
          <w:p w14:paraId="40FACC84"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ln(커버리지)</w:t>
            </w:r>
          </w:p>
        </w:tc>
        <w:tc>
          <w:tcPr>
            <w:tcW w:w="1584" w:type="dxa"/>
            <w:tcBorders>
              <w:top w:val="nil"/>
              <w:left w:val="nil"/>
              <w:bottom w:val="nil"/>
              <w:right w:val="nil"/>
            </w:tcBorders>
          </w:tcPr>
          <w:p w14:paraId="7084BF70"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p>
        </w:tc>
        <w:tc>
          <w:tcPr>
            <w:tcW w:w="1584" w:type="dxa"/>
            <w:tcBorders>
              <w:top w:val="nil"/>
              <w:left w:val="nil"/>
              <w:bottom w:val="nil"/>
              <w:right w:val="nil"/>
            </w:tcBorders>
          </w:tcPr>
          <w:p w14:paraId="2FB12393"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0.0870</w:t>
            </w:r>
            <w:r w:rsidRPr="00E1715D">
              <w:rPr>
                <w:rFonts w:ascii="HY신명조" w:eastAsia="HY신명조" w:hAnsi="Times New Roman" w:cs="Times New Roman" w:hint="eastAsia"/>
                <w:sz w:val="17"/>
                <w:szCs w:val="17"/>
                <w:vertAlign w:val="superscript"/>
              </w:rPr>
              <w:t>*</w:t>
            </w:r>
          </w:p>
        </w:tc>
      </w:tr>
      <w:tr w:rsidR="00A244A0" w:rsidRPr="0033081B" w14:paraId="7540E456" w14:textId="77777777" w:rsidTr="0005269A">
        <w:trPr>
          <w:jc w:val="center"/>
        </w:trPr>
        <w:tc>
          <w:tcPr>
            <w:tcW w:w="2523" w:type="dxa"/>
            <w:tcBorders>
              <w:top w:val="nil"/>
              <w:left w:val="nil"/>
              <w:bottom w:val="nil"/>
              <w:right w:val="nil"/>
            </w:tcBorders>
          </w:tcPr>
          <w:p w14:paraId="77EB6D06"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1DC2708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p>
        </w:tc>
        <w:tc>
          <w:tcPr>
            <w:tcW w:w="1584" w:type="dxa"/>
            <w:tcBorders>
              <w:top w:val="nil"/>
              <w:left w:val="nil"/>
              <w:bottom w:val="nil"/>
              <w:right w:val="nil"/>
            </w:tcBorders>
          </w:tcPr>
          <w:p w14:paraId="47647DF4"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(0.0485)</w:t>
            </w:r>
          </w:p>
        </w:tc>
      </w:tr>
      <w:tr w:rsidR="00A244A0" w:rsidRPr="0033081B" w14:paraId="65DB2707" w14:textId="77777777" w:rsidTr="0005269A">
        <w:trPr>
          <w:jc w:val="center"/>
        </w:trPr>
        <w:tc>
          <w:tcPr>
            <w:tcW w:w="2523" w:type="dxa"/>
            <w:tcBorders>
              <w:top w:val="nil"/>
              <w:left w:val="nil"/>
              <w:bottom w:val="nil"/>
              <w:right w:val="nil"/>
            </w:tcBorders>
          </w:tcPr>
          <w:p w14:paraId="5584AA42"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ln(임직원수)</w:t>
            </w:r>
          </w:p>
        </w:tc>
        <w:tc>
          <w:tcPr>
            <w:tcW w:w="1584" w:type="dxa"/>
            <w:tcBorders>
              <w:top w:val="nil"/>
              <w:left w:val="nil"/>
              <w:bottom w:val="nil"/>
              <w:right w:val="nil"/>
            </w:tcBorders>
          </w:tcPr>
          <w:p w14:paraId="5D8478E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0.0785</w:t>
            </w:r>
            <w:r w:rsidRPr="0033081B">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3E1FD27F"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-0.129</w:t>
            </w:r>
          </w:p>
        </w:tc>
      </w:tr>
      <w:tr w:rsidR="00A244A0" w:rsidRPr="0033081B" w14:paraId="2DBD4572" w14:textId="77777777" w:rsidTr="0005269A">
        <w:trPr>
          <w:jc w:val="center"/>
        </w:trPr>
        <w:tc>
          <w:tcPr>
            <w:tcW w:w="2523" w:type="dxa"/>
            <w:tcBorders>
              <w:top w:val="nil"/>
              <w:left w:val="nil"/>
              <w:bottom w:val="nil"/>
              <w:right w:val="nil"/>
            </w:tcBorders>
          </w:tcPr>
          <w:p w14:paraId="23753008"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1C05961"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(0.0304)</w:t>
            </w:r>
          </w:p>
        </w:tc>
        <w:tc>
          <w:tcPr>
            <w:tcW w:w="1584" w:type="dxa"/>
            <w:tcBorders>
              <w:top w:val="nil"/>
              <w:left w:val="nil"/>
              <w:bottom w:val="nil"/>
              <w:right w:val="nil"/>
            </w:tcBorders>
          </w:tcPr>
          <w:p w14:paraId="2B31BA1A"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(0.130)</w:t>
            </w:r>
          </w:p>
        </w:tc>
      </w:tr>
      <w:tr w:rsidR="00A244A0" w:rsidRPr="0033081B" w14:paraId="31F31DFF" w14:textId="77777777" w:rsidTr="0005269A">
        <w:trPr>
          <w:jc w:val="center"/>
        </w:trPr>
        <w:tc>
          <w:tcPr>
            <w:tcW w:w="2523" w:type="dxa"/>
            <w:tcBorders>
              <w:top w:val="nil"/>
              <w:left w:val="nil"/>
              <w:bottom w:val="nil"/>
              <w:right w:val="nil"/>
            </w:tcBorders>
          </w:tcPr>
          <w:p w14:paraId="511E03A0"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ln(총자산)</w:t>
            </w:r>
          </w:p>
        </w:tc>
        <w:tc>
          <w:tcPr>
            <w:tcW w:w="1584" w:type="dxa"/>
            <w:tcBorders>
              <w:top w:val="nil"/>
              <w:left w:val="nil"/>
              <w:bottom w:val="nil"/>
              <w:right w:val="nil"/>
            </w:tcBorders>
          </w:tcPr>
          <w:p w14:paraId="077DE978"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-0.0265</w:t>
            </w:r>
          </w:p>
        </w:tc>
        <w:tc>
          <w:tcPr>
            <w:tcW w:w="1584" w:type="dxa"/>
            <w:tcBorders>
              <w:top w:val="nil"/>
              <w:left w:val="nil"/>
              <w:bottom w:val="nil"/>
              <w:right w:val="nil"/>
            </w:tcBorders>
          </w:tcPr>
          <w:p w14:paraId="047259F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0.304</w:t>
            </w:r>
            <w:r w:rsidRPr="0033081B">
              <w:rPr>
                <w:rFonts w:ascii="HY신명조" w:eastAsia="HY신명조" w:hAnsi="Times New Roman" w:cs="Times New Roman" w:hint="eastAsia"/>
                <w:sz w:val="17"/>
                <w:szCs w:val="17"/>
                <w:vertAlign w:val="superscript"/>
              </w:rPr>
              <w:t>***</w:t>
            </w:r>
          </w:p>
        </w:tc>
      </w:tr>
      <w:tr w:rsidR="00A244A0" w:rsidRPr="0033081B" w14:paraId="7EBBA746" w14:textId="77777777" w:rsidTr="0005269A">
        <w:trPr>
          <w:jc w:val="center"/>
        </w:trPr>
        <w:tc>
          <w:tcPr>
            <w:tcW w:w="2523" w:type="dxa"/>
            <w:tcBorders>
              <w:top w:val="nil"/>
              <w:left w:val="nil"/>
              <w:bottom w:val="nil"/>
              <w:right w:val="nil"/>
            </w:tcBorders>
          </w:tcPr>
          <w:p w14:paraId="56D2865E"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579AFF8"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(0.0261)</w:t>
            </w:r>
          </w:p>
        </w:tc>
        <w:tc>
          <w:tcPr>
            <w:tcW w:w="1584" w:type="dxa"/>
            <w:tcBorders>
              <w:top w:val="nil"/>
              <w:left w:val="nil"/>
              <w:bottom w:val="nil"/>
              <w:right w:val="nil"/>
            </w:tcBorders>
          </w:tcPr>
          <w:p w14:paraId="0860A58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(0.112)</w:t>
            </w:r>
          </w:p>
        </w:tc>
      </w:tr>
      <w:tr w:rsidR="00A244A0" w:rsidRPr="0033081B" w14:paraId="78F638AD" w14:textId="77777777" w:rsidTr="0005269A">
        <w:trPr>
          <w:jc w:val="center"/>
        </w:trPr>
        <w:tc>
          <w:tcPr>
            <w:tcW w:w="2523" w:type="dxa"/>
            <w:tcBorders>
              <w:top w:val="nil"/>
              <w:left w:val="nil"/>
              <w:bottom w:val="nil"/>
              <w:right w:val="nil"/>
            </w:tcBorders>
          </w:tcPr>
          <w:p w14:paraId="000D2A36"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ln(시가총액)</w:t>
            </w:r>
          </w:p>
        </w:tc>
        <w:tc>
          <w:tcPr>
            <w:tcW w:w="1584" w:type="dxa"/>
            <w:tcBorders>
              <w:top w:val="nil"/>
              <w:left w:val="nil"/>
              <w:bottom w:val="nil"/>
              <w:right w:val="nil"/>
            </w:tcBorders>
          </w:tcPr>
          <w:p w14:paraId="1418FDD0"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-6.17e-07</w:t>
            </w:r>
          </w:p>
        </w:tc>
        <w:tc>
          <w:tcPr>
            <w:tcW w:w="1584" w:type="dxa"/>
            <w:tcBorders>
              <w:top w:val="nil"/>
              <w:left w:val="nil"/>
              <w:bottom w:val="nil"/>
              <w:right w:val="nil"/>
            </w:tcBorders>
          </w:tcPr>
          <w:p w14:paraId="1DCDBDC7"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1.24e-05</w:t>
            </w:r>
            <w:r w:rsidRPr="0033081B">
              <w:rPr>
                <w:rFonts w:ascii="HY신명조" w:eastAsia="HY신명조" w:hAnsi="Times New Roman" w:cs="Times New Roman" w:hint="eastAsia"/>
                <w:sz w:val="17"/>
                <w:szCs w:val="17"/>
                <w:vertAlign w:val="superscript"/>
              </w:rPr>
              <w:t>**</w:t>
            </w:r>
          </w:p>
        </w:tc>
      </w:tr>
      <w:tr w:rsidR="00A244A0" w:rsidRPr="0033081B" w14:paraId="1B4C58EC" w14:textId="77777777" w:rsidTr="0005269A">
        <w:trPr>
          <w:jc w:val="center"/>
        </w:trPr>
        <w:tc>
          <w:tcPr>
            <w:tcW w:w="2523" w:type="dxa"/>
            <w:tcBorders>
              <w:top w:val="nil"/>
              <w:left w:val="nil"/>
              <w:bottom w:val="nil"/>
              <w:right w:val="nil"/>
            </w:tcBorders>
          </w:tcPr>
          <w:p w14:paraId="18E9341E"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58132B2"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(1.41e-06)</w:t>
            </w:r>
          </w:p>
        </w:tc>
        <w:tc>
          <w:tcPr>
            <w:tcW w:w="1584" w:type="dxa"/>
            <w:tcBorders>
              <w:top w:val="nil"/>
              <w:left w:val="nil"/>
              <w:bottom w:val="nil"/>
              <w:right w:val="nil"/>
            </w:tcBorders>
          </w:tcPr>
          <w:p w14:paraId="0882C1AA"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(6.05e-06)</w:t>
            </w:r>
          </w:p>
        </w:tc>
      </w:tr>
      <w:tr w:rsidR="00A244A0" w:rsidRPr="0033081B" w14:paraId="341FF202" w14:textId="77777777" w:rsidTr="0005269A">
        <w:trPr>
          <w:jc w:val="center"/>
        </w:trPr>
        <w:tc>
          <w:tcPr>
            <w:tcW w:w="2523" w:type="dxa"/>
            <w:tcBorders>
              <w:top w:val="nil"/>
              <w:left w:val="nil"/>
              <w:bottom w:val="nil"/>
              <w:right w:val="nil"/>
            </w:tcBorders>
          </w:tcPr>
          <w:p w14:paraId="5AFC181F"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부채비율</w:t>
            </w:r>
          </w:p>
        </w:tc>
        <w:tc>
          <w:tcPr>
            <w:tcW w:w="1584" w:type="dxa"/>
            <w:tcBorders>
              <w:top w:val="nil"/>
              <w:left w:val="nil"/>
              <w:bottom w:val="nil"/>
              <w:right w:val="nil"/>
            </w:tcBorders>
          </w:tcPr>
          <w:p w14:paraId="1436348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0.000104</w:t>
            </w:r>
          </w:p>
        </w:tc>
        <w:tc>
          <w:tcPr>
            <w:tcW w:w="1584" w:type="dxa"/>
            <w:tcBorders>
              <w:top w:val="nil"/>
              <w:left w:val="nil"/>
              <w:bottom w:val="nil"/>
              <w:right w:val="nil"/>
            </w:tcBorders>
          </w:tcPr>
          <w:p w14:paraId="7E8AF683"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-0.000104</w:t>
            </w:r>
          </w:p>
        </w:tc>
      </w:tr>
      <w:tr w:rsidR="00A244A0" w:rsidRPr="0033081B" w14:paraId="34F054D0" w14:textId="77777777" w:rsidTr="0005269A">
        <w:trPr>
          <w:jc w:val="center"/>
        </w:trPr>
        <w:tc>
          <w:tcPr>
            <w:tcW w:w="2523" w:type="dxa"/>
            <w:tcBorders>
              <w:top w:val="nil"/>
              <w:left w:val="nil"/>
              <w:bottom w:val="nil"/>
              <w:right w:val="nil"/>
            </w:tcBorders>
          </w:tcPr>
          <w:p w14:paraId="4893F84A"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FA9063F"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(0.000110)</w:t>
            </w:r>
          </w:p>
        </w:tc>
        <w:tc>
          <w:tcPr>
            <w:tcW w:w="1584" w:type="dxa"/>
            <w:tcBorders>
              <w:top w:val="nil"/>
              <w:left w:val="nil"/>
              <w:bottom w:val="nil"/>
              <w:right w:val="nil"/>
            </w:tcBorders>
          </w:tcPr>
          <w:p w14:paraId="42619726"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(0.000473)</w:t>
            </w:r>
          </w:p>
        </w:tc>
      </w:tr>
      <w:tr w:rsidR="00A244A0" w:rsidRPr="0033081B" w14:paraId="077C5B97" w14:textId="77777777" w:rsidTr="0005269A">
        <w:trPr>
          <w:jc w:val="center"/>
        </w:trPr>
        <w:tc>
          <w:tcPr>
            <w:tcW w:w="2523" w:type="dxa"/>
            <w:tcBorders>
              <w:top w:val="nil"/>
              <w:left w:val="nil"/>
              <w:bottom w:val="nil"/>
              <w:right w:val="nil"/>
            </w:tcBorders>
          </w:tcPr>
          <w:p w14:paraId="02F27866"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순부채비율</w:t>
            </w:r>
          </w:p>
        </w:tc>
        <w:tc>
          <w:tcPr>
            <w:tcW w:w="1584" w:type="dxa"/>
            <w:tcBorders>
              <w:top w:val="nil"/>
              <w:left w:val="nil"/>
              <w:bottom w:val="nil"/>
              <w:right w:val="nil"/>
            </w:tcBorders>
          </w:tcPr>
          <w:p w14:paraId="2B018373"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-0.000171</w:t>
            </w:r>
          </w:p>
        </w:tc>
        <w:tc>
          <w:tcPr>
            <w:tcW w:w="1584" w:type="dxa"/>
            <w:tcBorders>
              <w:top w:val="nil"/>
              <w:left w:val="nil"/>
              <w:bottom w:val="nil"/>
              <w:right w:val="nil"/>
            </w:tcBorders>
          </w:tcPr>
          <w:p w14:paraId="741C9490"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0.000270</w:t>
            </w:r>
          </w:p>
        </w:tc>
      </w:tr>
      <w:tr w:rsidR="00A244A0" w:rsidRPr="0033081B" w14:paraId="06B82C99" w14:textId="77777777" w:rsidTr="0005269A">
        <w:trPr>
          <w:jc w:val="center"/>
        </w:trPr>
        <w:tc>
          <w:tcPr>
            <w:tcW w:w="2523" w:type="dxa"/>
            <w:tcBorders>
              <w:top w:val="nil"/>
              <w:left w:val="nil"/>
              <w:bottom w:val="nil"/>
              <w:right w:val="nil"/>
            </w:tcBorders>
          </w:tcPr>
          <w:p w14:paraId="48D26C53"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B927608"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(0.000181)</w:t>
            </w:r>
          </w:p>
        </w:tc>
        <w:tc>
          <w:tcPr>
            <w:tcW w:w="1584" w:type="dxa"/>
            <w:tcBorders>
              <w:top w:val="nil"/>
              <w:left w:val="nil"/>
              <w:bottom w:val="nil"/>
              <w:right w:val="nil"/>
            </w:tcBorders>
          </w:tcPr>
          <w:p w14:paraId="4CC6EE7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(0.000775)</w:t>
            </w:r>
          </w:p>
        </w:tc>
      </w:tr>
      <w:tr w:rsidR="00A244A0" w:rsidRPr="0033081B" w14:paraId="36B29D27" w14:textId="77777777" w:rsidTr="0005269A">
        <w:trPr>
          <w:jc w:val="center"/>
        </w:trPr>
        <w:tc>
          <w:tcPr>
            <w:tcW w:w="2523" w:type="dxa"/>
            <w:tcBorders>
              <w:top w:val="nil"/>
              <w:left w:val="nil"/>
              <w:bottom w:val="nil"/>
              <w:right w:val="nil"/>
            </w:tcBorders>
          </w:tcPr>
          <w:p w14:paraId="62938E5F"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종속연수</w:t>
            </w:r>
          </w:p>
        </w:tc>
        <w:tc>
          <w:tcPr>
            <w:tcW w:w="1584" w:type="dxa"/>
            <w:tcBorders>
              <w:top w:val="nil"/>
              <w:left w:val="nil"/>
              <w:bottom w:val="nil"/>
              <w:right w:val="nil"/>
            </w:tcBorders>
          </w:tcPr>
          <w:p w14:paraId="51C9B378"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-0.0761</w:t>
            </w:r>
            <w:r w:rsidRPr="0033081B">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41F6DE15"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0.0495</w:t>
            </w:r>
            <w:r w:rsidRPr="0033081B">
              <w:rPr>
                <w:rFonts w:ascii="HY신명조" w:eastAsia="HY신명조" w:hAnsi="Times New Roman" w:cs="Times New Roman" w:hint="eastAsia"/>
                <w:sz w:val="17"/>
                <w:szCs w:val="17"/>
                <w:vertAlign w:val="superscript"/>
              </w:rPr>
              <w:t>**</w:t>
            </w:r>
          </w:p>
        </w:tc>
      </w:tr>
      <w:tr w:rsidR="00A244A0" w:rsidRPr="0033081B" w14:paraId="74090B72" w14:textId="77777777" w:rsidTr="0005269A">
        <w:trPr>
          <w:jc w:val="center"/>
        </w:trPr>
        <w:tc>
          <w:tcPr>
            <w:tcW w:w="2523" w:type="dxa"/>
            <w:tcBorders>
              <w:top w:val="nil"/>
              <w:left w:val="nil"/>
              <w:bottom w:val="nil"/>
              <w:right w:val="nil"/>
            </w:tcBorders>
          </w:tcPr>
          <w:p w14:paraId="7D43AC9E"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2842263B"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(0.00500)</w:t>
            </w:r>
          </w:p>
        </w:tc>
        <w:tc>
          <w:tcPr>
            <w:tcW w:w="1584" w:type="dxa"/>
            <w:tcBorders>
              <w:top w:val="nil"/>
              <w:left w:val="nil"/>
              <w:bottom w:val="nil"/>
              <w:right w:val="nil"/>
            </w:tcBorders>
          </w:tcPr>
          <w:p w14:paraId="0CC17097"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(0.0193)</w:t>
            </w:r>
          </w:p>
        </w:tc>
      </w:tr>
      <w:tr w:rsidR="00A244A0" w:rsidRPr="0033081B" w14:paraId="0D85610A" w14:textId="77777777" w:rsidTr="0005269A">
        <w:trPr>
          <w:jc w:val="center"/>
        </w:trPr>
        <w:tc>
          <w:tcPr>
            <w:tcW w:w="2523" w:type="dxa"/>
            <w:tcBorders>
              <w:top w:val="nil"/>
              <w:left w:val="nil"/>
              <w:bottom w:val="nil"/>
              <w:right w:val="nil"/>
            </w:tcBorders>
          </w:tcPr>
          <w:p w14:paraId="1A091644"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외국인 지분율</w:t>
            </w:r>
          </w:p>
        </w:tc>
        <w:tc>
          <w:tcPr>
            <w:tcW w:w="1584" w:type="dxa"/>
            <w:tcBorders>
              <w:top w:val="nil"/>
              <w:left w:val="nil"/>
              <w:bottom w:val="nil"/>
              <w:right w:val="nil"/>
            </w:tcBorders>
          </w:tcPr>
          <w:p w14:paraId="69A8004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0.00164</w:t>
            </w:r>
            <w:r w:rsidRPr="00E1715D">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6D205C64"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-0.0112</w:t>
            </w:r>
            <w:r w:rsidRPr="0033081B">
              <w:rPr>
                <w:rFonts w:ascii="HY신명조" w:eastAsia="HY신명조" w:hAnsi="Times New Roman" w:cs="Times New Roman" w:hint="eastAsia"/>
                <w:sz w:val="17"/>
                <w:szCs w:val="17"/>
                <w:vertAlign w:val="superscript"/>
              </w:rPr>
              <w:t>***</w:t>
            </w:r>
          </w:p>
        </w:tc>
      </w:tr>
      <w:tr w:rsidR="00A244A0" w:rsidRPr="0033081B" w14:paraId="58C58D08" w14:textId="77777777" w:rsidTr="0005269A">
        <w:trPr>
          <w:jc w:val="center"/>
        </w:trPr>
        <w:tc>
          <w:tcPr>
            <w:tcW w:w="2523" w:type="dxa"/>
            <w:tcBorders>
              <w:top w:val="nil"/>
              <w:left w:val="nil"/>
              <w:bottom w:val="nil"/>
              <w:right w:val="nil"/>
            </w:tcBorders>
          </w:tcPr>
          <w:p w14:paraId="50E88816"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03B98A77"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(0.000892)</w:t>
            </w:r>
          </w:p>
        </w:tc>
        <w:tc>
          <w:tcPr>
            <w:tcW w:w="1584" w:type="dxa"/>
            <w:tcBorders>
              <w:top w:val="nil"/>
              <w:left w:val="nil"/>
              <w:bottom w:val="nil"/>
              <w:right w:val="nil"/>
            </w:tcBorders>
          </w:tcPr>
          <w:p w14:paraId="00019BE0"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(0.00383)</w:t>
            </w:r>
          </w:p>
        </w:tc>
      </w:tr>
      <w:tr w:rsidR="00A244A0" w:rsidRPr="0033081B" w14:paraId="4614B0DE" w14:textId="77777777" w:rsidTr="0005269A">
        <w:trPr>
          <w:jc w:val="center"/>
        </w:trPr>
        <w:tc>
          <w:tcPr>
            <w:tcW w:w="2523" w:type="dxa"/>
            <w:tcBorders>
              <w:top w:val="nil"/>
              <w:left w:val="nil"/>
              <w:bottom w:val="nil"/>
              <w:right w:val="nil"/>
            </w:tcBorders>
          </w:tcPr>
          <w:p w14:paraId="2DC04FA3"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최대주주 지분율</w:t>
            </w:r>
          </w:p>
        </w:tc>
        <w:tc>
          <w:tcPr>
            <w:tcW w:w="1584" w:type="dxa"/>
            <w:tcBorders>
              <w:top w:val="nil"/>
              <w:left w:val="nil"/>
              <w:bottom w:val="nil"/>
              <w:right w:val="nil"/>
            </w:tcBorders>
          </w:tcPr>
          <w:p w14:paraId="45BBFED9"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-0.00170</w:t>
            </w:r>
          </w:p>
        </w:tc>
        <w:tc>
          <w:tcPr>
            <w:tcW w:w="1584" w:type="dxa"/>
            <w:tcBorders>
              <w:top w:val="nil"/>
              <w:left w:val="nil"/>
              <w:bottom w:val="nil"/>
              <w:right w:val="nil"/>
            </w:tcBorders>
          </w:tcPr>
          <w:p w14:paraId="582CB47B"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0.00496</w:t>
            </w:r>
          </w:p>
        </w:tc>
      </w:tr>
      <w:tr w:rsidR="00A244A0" w:rsidRPr="0033081B" w14:paraId="0CCFDDA7" w14:textId="77777777" w:rsidTr="0005269A">
        <w:trPr>
          <w:jc w:val="center"/>
        </w:trPr>
        <w:tc>
          <w:tcPr>
            <w:tcW w:w="2523" w:type="dxa"/>
            <w:tcBorders>
              <w:top w:val="nil"/>
              <w:left w:val="nil"/>
              <w:bottom w:val="nil"/>
              <w:right w:val="nil"/>
            </w:tcBorders>
          </w:tcPr>
          <w:p w14:paraId="22D21ADA"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715CEDB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(0.00122)</w:t>
            </w:r>
          </w:p>
        </w:tc>
        <w:tc>
          <w:tcPr>
            <w:tcW w:w="1584" w:type="dxa"/>
            <w:tcBorders>
              <w:top w:val="nil"/>
              <w:left w:val="nil"/>
              <w:bottom w:val="nil"/>
              <w:right w:val="nil"/>
            </w:tcBorders>
          </w:tcPr>
          <w:p w14:paraId="151975FB"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(0.00525)</w:t>
            </w:r>
          </w:p>
        </w:tc>
      </w:tr>
      <w:tr w:rsidR="00A244A0" w:rsidRPr="0033081B" w14:paraId="398013B6" w14:textId="77777777" w:rsidTr="0005269A">
        <w:trPr>
          <w:jc w:val="center"/>
        </w:trPr>
        <w:tc>
          <w:tcPr>
            <w:tcW w:w="2523" w:type="dxa"/>
            <w:tcBorders>
              <w:top w:val="nil"/>
              <w:left w:val="nil"/>
              <w:bottom w:val="nil"/>
              <w:right w:val="nil"/>
            </w:tcBorders>
          </w:tcPr>
          <w:p w14:paraId="1D76FD60"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거래량 회전율</w:t>
            </w:r>
          </w:p>
        </w:tc>
        <w:tc>
          <w:tcPr>
            <w:tcW w:w="1584" w:type="dxa"/>
            <w:tcBorders>
              <w:top w:val="nil"/>
              <w:left w:val="nil"/>
              <w:bottom w:val="nil"/>
              <w:right w:val="nil"/>
            </w:tcBorders>
          </w:tcPr>
          <w:p w14:paraId="78E31E11"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-0.000684</w:t>
            </w:r>
          </w:p>
        </w:tc>
        <w:tc>
          <w:tcPr>
            <w:tcW w:w="1584" w:type="dxa"/>
            <w:tcBorders>
              <w:top w:val="nil"/>
              <w:left w:val="nil"/>
              <w:bottom w:val="nil"/>
              <w:right w:val="nil"/>
            </w:tcBorders>
          </w:tcPr>
          <w:p w14:paraId="3C057C58"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-0.0366</w:t>
            </w:r>
          </w:p>
        </w:tc>
      </w:tr>
      <w:tr w:rsidR="00A244A0" w:rsidRPr="0033081B" w14:paraId="6A74E2D3" w14:textId="77777777" w:rsidTr="0005269A">
        <w:trPr>
          <w:jc w:val="center"/>
        </w:trPr>
        <w:tc>
          <w:tcPr>
            <w:tcW w:w="2523" w:type="dxa"/>
            <w:tcBorders>
              <w:top w:val="nil"/>
              <w:left w:val="nil"/>
              <w:bottom w:val="nil"/>
              <w:right w:val="nil"/>
            </w:tcBorders>
          </w:tcPr>
          <w:p w14:paraId="0180FB7F"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C3CEA76"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(0.00889)</w:t>
            </w:r>
          </w:p>
        </w:tc>
        <w:tc>
          <w:tcPr>
            <w:tcW w:w="1584" w:type="dxa"/>
            <w:tcBorders>
              <w:top w:val="nil"/>
              <w:left w:val="nil"/>
              <w:bottom w:val="nil"/>
              <w:right w:val="nil"/>
            </w:tcBorders>
          </w:tcPr>
          <w:p w14:paraId="57FB9AF7"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(0.0381)</w:t>
            </w:r>
          </w:p>
        </w:tc>
      </w:tr>
      <w:tr w:rsidR="00A244A0" w:rsidRPr="0033081B" w14:paraId="1BEDB8BA" w14:textId="77777777" w:rsidTr="0005269A">
        <w:trPr>
          <w:jc w:val="center"/>
        </w:trPr>
        <w:tc>
          <w:tcPr>
            <w:tcW w:w="2523" w:type="dxa"/>
            <w:tcBorders>
              <w:top w:val="nil"/>
              <w:left w:val="nil"/>
              <w:bottom w:val="nil"/>
              <w:right w:val="nil"/>
            </w:tcBorders>
          </w:tcPr>
          <w:p w14:paraId="212EA47A"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hint="eastAsia"/>
                <w:sz w:val="17"/>
                <w:szCs w:val="17"/>
              </w:rPr>
              <w:t>토빈의 Q</w:t>
            </w:r>
          </w:p>
        </w:tc>
        <w:tc>
          <w:tcPr>
            <w:tcW w:w="1584" w:type="dxa"/>
            <w:tcBorders>
              <w:top w:val="nil"/>
              <w:left w:val="nil"/>
              <w:bottom w:val="nil"/>
              <w:right w:val="nil"/>
            </w:tcBorders>
          </w:tcPr>
          <w:p w14:paraId="15689E69"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0.000684</w:t>
            </w:r>
          </w:p>
        </w:tc>
        <w:tc>
          <w:tcPr>
            <w:tcW w:w="1584" w:type="dxa"/>
            <w:tcBorders>
              <w:top w:val="nil"/>
              <w:left w:val="nil"/>
              <w:bottom w:val="nil"/>
              <w:right w:val="nil"/>
            </w:tcBorders>
          </w:tcPr>
          <w:p w14:paraId="6991DD8F"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-0.0104</w:t>
            </w:r>
          </w:p>
        </w:tc>
      </w:tr>
      <w:tr w:rsidR="00A244A0" w:rsidRPr="0033081B" w14:paraId="3DA93149" w14:textId="77777777" w:rsidTr="0005269A">
        <w:trPr>
          <w:jc w:val="center"/>
        </w:trPr>
        <w:tc>
          <w:tcPr>
            <w:tcW w:w="2523" w:type="dxa"/>
            <w:tcBorders>
              <w:top w:val="nil"/>
              <w:left w:val="nil"/>
              <w:bottom w:val="nil"/>
              <w:right w:val="nil"/>
            </w:tcBorders>
          </w:tcPr>
          <w:p w14:paraId="09D48221"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3890D533"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(0.00484)</w:t>
            </w:r>
          </w:p>
        </w:tc>
        <w:tc>
          <w:tcPr>
            <w:tcW w:w="1584" w:type="dxa"/>
            <w:tcBorders>
              <w:top w:val="nil"/>
              <w:left w:val="nil"/>
              <w:bottom w:val="nil"/>
              <w:right w:val="nil"/>
            </w:tcBorders>
          </w:tcPr>
          <w:p w14:paraId="274FDB9F"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(0.0207)</w:t>
            </w:r>
          </w:p>
        </w:tc>
      </w:tr>
      <w:tr w:rsidR="00A244A0" w:rsidRPr="0033081B" w14:paraId="7641B5B4" w14:textId="77777777" w:rsidTr="0005269A">
        <w:trPr>
          <w:jc w:val="center"/>
        </w:trPr>
        <w:tc>
          <w:tcPr>
            <w:tcW w:w="2523" w:type="dxa"/>
            <w:tcBorders>
              <w:top w:val="nil"/>
              <w:left w:val="nil"/>
              <w:bottom w:val="nil"/>
              <w:right w:val="nil"/>
            </w:tcBorders>
          </w:tcPr>
          <w:p w14:paraId="1ED4A526"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국내10년국채금리</w:t>
            </w:r>
          </w:p>
        </w:tc>
        <w:tc>
          <w:tcPr>
            <w:tcW w:w="1584" w:type="dxa"/>
            <w:tcBorders>
              <w:top w:val="nil"/>
              <w:left w:val="nil"/>
              <w:bottom w:val="nil"/>
              <w:right w:val="nil"/>
            </w:tcBorders>
          </w:tcPr>
          <w:p w14:paraId="5ED05E4C"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-0.0727</w:t>
            </w:r>
            <w:r w:rsidRPr="0033081B">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7ABE6BFD"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0.255</w:t>
            </w:r>
            <w:r w:rsidRPr="0033081B">
              <w:rPr>
                <w:rFonts w:ascii="HY신명조" w:eastAsia="HY신명조" w:hAnsi="Times New Roman" w:cs="Times New Roman" w:hint="eastAsia"/>
                <w:sz w:val="17"/>
                <w:szCs w:val="17"/>
                <w:vertAlign w:val="superscript"/>
              </w:rPr>
              <w:t>***</w:t>
            </w:r>
          </w:p>
        </w:tc>
      </w:tr>
      <w:tr w:rsidR="00A244A0" w:rsidRPr="0033081B" w14:paraId="47A0AFB2" w14:textId="77777777" w:rsidTr="0005269A">
        <w:trPr>
          <w:jc w:val="center"/>
        </w:trPr>
        <w:tc>
          <w:tcPr>
            <w:tcW w:w="2523" w:type="dxa"/>
            <w:tcBorders>
              <w:top w:val="nil"/>
              <w:left w:val="nil"/>
              <w:bottom w:val="nil"/>
              <w:right w:val="nil"/>
            </w:tcBorders>
          </w:tcPr>
          <w:p w14:paraId="51E4B0B4"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4D5BBC09"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(0.0129)</w:t>
            </w:r>
          </w:p>
        </w:tc>
        <w:tc>
          <w:tcPr>
            <w:tcW w:w="1584" w:type="dxa"/>
            <w:tcBorders>
              <w:top w:val="nil"/>
              <w:left w:val="nil"/>
              <w:bottom w:val="nil"/>
              <w:right w:val="nil"/>
            </w:tcBorders>
          </w:tcPr>
          <w:p w14:paraId="53498C85"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(0.0536)</w:t>
            </w:r>
          </w:p>
        </w:tc>
      </w:tr>
      <w:tr w:rsidR="00A244A0" w:rsidRPr="0033081B" w14:paraId="124ADA0E" w14:textId="77777777" w:rsidTr="0005269A">
        <w:trPr>
          <w:jc w:val="center"/>
        </w:trPr>
        <w:tc>
          <w:tcPr>
            <w:tcW w:w="2523" w:type="dxa"/>
            <w:tcBorders>
              <w:top w:val="nil"/>
              <w:left w:val="nil"/>
              <w:bottom w:val="nil"/>
              <w:right w:val="nil"/>
            </w:tcBorders>
          </w:tcPr>
          <w:p w14:paraId="7A811049"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나눔고딕" w:cs="나눔고딕" w:hint="eastAsia"/>
                <w:sz w:val="17"/>
                <w:szCs w:val="17"/>
              </w:rPr>
              <w:t>Constant</w:t>
            </w:r>
          </w:p>
        </w:tc>
        <w:tc>
          <w:tcPr>
            <w:tcW w:w="1584" w:type="dxa"/>
            <w:tcBorders>
              <w:top w:val="nil"/>
              <w:left w:val="nil"/>
              <w:bottom w:val="nil"/>
              <w:right w:val="nil"/>
            </w:tcBorders>
          </w:tcPr>
          <w:p w14:paraId="445AAB71"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2.390</w:t>
            </w:r>
            <w:r w:rsidRPr="0033081B">
              <w:rPr>
                <w:rFonts w:ascii="HY신명조" w:eastAsia="HY신명조" w:hAnsi="Times New Roman" w:cs="Times New Roman" w:hint="eastAsia"/>
                <w:sz w:val="17"/>
                <w:szCs w:val="17"/>
                <w:vertAlign w:val="superscript"/>
              </w:rPr>
              <w:t>***</w:t>
            </w:r>
          </w:p>
        </w:tc>
        <w:tc>
          <w:tcPr>
            <w:tcW w:w="1584" w:type="dxa"/>
            <w:tcBorders>
              <w:top w:val="nil"/>
              <w:left w:val="nil"/>
              <w:bottom w:val="nil"/>
              <w:right w:val="nil"/>
            </w:tcBorders>
          </w:tcPr>
          <w:p w14:paraId="656FEFAE"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-0.630</w:t>
            </w:r>
          </w:p>
        </w:tc>
      </w:tr>
      <w:tr w:rsidR="00A244A0" w:rsidRPr="0033081B" w14:paraId="5EC4415A" w14:textId="77777777" w:rsidTr="0005269A">
        <w:trPr>
          <w:jc w:val="center"/>
        </w:trPr>
        <w:tc>
          <w:tcPr>
            <w:tcW w:w="2523" w:type="dxa"/>
            <w:tcBorders>
              <w:top w:val="nil"/>
              <w:left w:val="nil"/>
              <w:bottom w:val="nil"/>
              <w:right w:val="nil"/>
            </w:tcBorders>
          </w:tcPr>
          <w:p w14:paraId="5C9BF784" w14:textId="77777777" w:rsidR="00A244A0" w:rsidRPr="0033081B" w:rsidRDefault="00A244A0" w:rsidP="0005269A">
            <w:pPr>
              <w:adjustRightInd w:val="0"/>
              <w:spacing w:line="240" w:lineRule="auto"/>
              <w:rPr>
                <w:rFonts w:ascii="HY신명조" w:eastAsia="HY신명조" w:hAnsi="Times New Roman" w:cs="Times New Roman"/>
                <w:sz w:val="17"/>
                <w:szCs w:val="17"/>
              </w:rPr>
            </w:pPr>
          </w:p>
        </w:tc>
        <w:tc>
          <w:tcPr>
            <w:tcW w:w="1584" w:type="dxa"/>
            <w:tcBorders>
              <w:top w:val="nil"/>
              <w:left w:val="nil"/>
              <w:bottom w:val="nil"/>
              <w:right w:val="nil"/>
            </w:tcBorders>
          </w:tcPr>
          <w:p w14:paraId="66737824"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(0.247)</w:t>
            </w:r>
          </w:p>
        </w:tc>
        <w:tc>
          <w:tcPr>
            <w:tcW w:w="1584" w:type="dxa"/>
            <w:tcBorders>
              <w:top w:val="nil"/>
              <w:left w:val="nil"/>
              <w:bottom w:val="nil"/>
              <w:right w:val="nil"/>
            </w:tcBorders>
          </w:tcPr>
          <w:p w14:paraId="76D4DA36"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(1.019)</w:t>
            </w:r>
          </w:p>
        </w:tc>
      </w:tr>
      <w:tr w:rsidR="00A244A0" w:rsidRPr="0033081B" w14:paraId="6521A0DA" w14:textId="77777777" w:rsidTr="0005269A">
        <w:trPr>
          <w:jc w:val="center"/>
        </w:trPr>
        <w:tc>
          <w:tcPr>
            <w:tcW w:w="2523" w:type="dxa"/>
            <w:tcBorders>
              <w:top w:val="nil"/>
              <w:left w:val="nil"/>
              <w:bottom w:val="nil"/>
              <w:right w:val="nil"/>
            </w:tcBorders>
          </w:tcPr>
          <w:p w14:paraId="2A0BFDBA"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Observations</w:t>
            </w:r>
          </w:p>
        </w:tc>
        <w:tc>
          <w:tcPr>
            <w:tcW w:w="1584" w:type="dxa"/>
            <w:tcBorders>
              <w:top w:val="nil"/>
              <w:left w:val="nil"/>
              <w:bottom w:val="nil"/>
              <w:right w:val="nil"/>
            </w:tcBorders>
          </w:tcPr>
          <w:p w14:paraId="29118EDB"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586</w:t>
            </w:r>
          </w:p>
        </w:tc>
        <w:tc>
          <w:tcPr>
            <w:tcW w:w="1584" w:type="dxa"/>
            <w:tcBorders>
              <w:top w:val="nil"/>
              <w:left w:val="nil"/>
              <w:bottom w:val="nil"/>
              <w:right w:val="nil"/>
            </w:tcBorders>
          </w:tcPr>
          <w:p w14:paraId="21A22993"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586</w:t>
            </w:r>
          </w:p>
        </w:tc>
      </w:tr>
      <w:tr w:rsidR="00A244A0" w:rsidRPr="0033081B" w14:paraId="12E64C30" w14:textId="77777777" w:rsidTr="0005269A">
        <w:trPr>
          <w:jc w:val="center"/>
        </w:trPr>
        <w:tc>
          <w:tcPr>
            <w:tcW w:w="2523" w:type="dxa"/>
            <w:tcBorders>
              <w:top w:val="nil"/>
              <w:left w:val="nil"/>
              <w:bottom w:val="nil"/>
              <w:right w:val="nil"/>
            </w:tcBorders>
          </w:tcPr>
          <w:p w14:paraId="5624AABA"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R-squared</w:t>
            </w:r>
          </w:p>
        </w:tc>
        <w:tc>
          <w:tcPr>
            <w:tcW w:w="1584" w:type="dxa"/>
            <w:tcBorders>
              <w:top w:val="nil"/>
              <w:left w:val="nil"/>
              <w:bottom w:val="nil"/>
              <w:right w:val="nil"/>
            </w:tcBorders>
          </w:tcPr>
          <w:p w14:paraId="57B6921D"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0.976</w:t>
            </w:r>
          </w:p>
        </w:tc>
        <w:tc>
          <w:tcPr>
            <w:tcW w:w="1584" w:type="dxa"/>
            <w:tcBorders>
              <w:top w:val="nil"/>
              <w:left w:val="nil"/>
              <w:bottom w:val="nil"/>
              <w:right w:val="nil"/>
            </w:tcBorders>
          </w:tcPr>
          <w:p w14:paraId="121035A2"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p>
        </w:tc>
      </w:tr>
      <w:tr w:rsidR="00A244A0" w:rsidRPr="0033081B" w14:paraId="7806D45F" w14:textId="77777777" w:rsidTr="0005269A">
        <w:tblPrEx>
          <w:tblBorders>
            <w:bottom w:val="single" w:sz="6" w:space="0" w:color="auto"/>
          </w:tblBorders>
        </w:tblPrEx>
        <w:trPr>
          <w:jc w:val="center"/>
        </w:trPr>
        <w:tc>
          <w:tcPr>
            <w:tcW w:w="2523" w:type="dxa"/>
            <w:tcBorders>
              <w:top w:val="nil"/>
              <w:left w:val="nil"/>
              <w:bottom w:val="single" w:sz="6" w:space="0" w:color="auto"/>
              <w:right w:val="nil"/>
            </w:tcBorders>
          </w:tcPr>
          <w:p w14:paraId="28059A17" w14:textId="77777777" w:rsidR="00A244A0" w:rsidRPr="0033081B" w:rsidRDefault="00A244A0" w:rsidP="0005269A">
            <w:pPr>
              <w:adjustRightInd w:val="0"/>
              <w:spacing w:line="240" w:lineRule="auto"/>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Number of idcode</w:t>
            </w:r>
          </w:p>
        </w:tc>
        <w:tc>
          <w:tcPr>
            <w:tcW w:w="1584" w:type="dxa"/>
            <w:tcBorders>
              <w:top w:val="nil"/>
              <w:left w:val="nil"/>
              <w:bottom w:val="single" w:sz="6" w:space="0" w:color="auto"/>
              <w:right w:val="nil"/>
            </w:tcBorders>
          </w:tcPr>
          <w:p w14:paraId="79F53739"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76</w:t>
            </w:r>
          </w:p>
        </w:tc>
        <w:tc>
          <w:tcPr>
            <w:tcW w:w="1584" w:type="dxa"/>
            <w:tcBorders>
              <w:top w:val="nil"/>
              <w:left w:val="nil"/>
              <w:bottom w:val="single" w:sz="6" w:space="0" w:color="auto"/>
              <w:right w:val="nil"/>
            </w:tcBorders>
          </w:tcPr>
          <w:p w14:paraId="4F5481DD" w14:textId="77777777" w:rsidR="00A244A0" w:rsidRPr="0033081B" w:rsidRDefault="00A244A0" w:rsidP="0005269A">
            <w:pPr>
              <w:adjustRightInd w:val="0"/>
              <w:spacing w:line="240" w:lineRule="auto"/>
              <w:jc w:val="center"/>
              <w:rPr>
                <w:rFonts w:ascii="HY신명조" w:eastAsia="HY신명조" w:hAnsi="Times New Roman" w:cs="Times New Roman"/>
                <w:sz w:val="17"/>
                <w:szCs w:val="17"/>
              </w:rPr>
            </w:pPr>
            <w:r w:rsidRPr="0033081B">
              <w:rPr>
                <w:rFonts w:ascii="HY신명조" w:eastAsia="HY신명조" w:hAnsi="Times New Roman" w:cs="Times New Roman" w:hint="eastAsia"/>
                <w:sz w:val="17"/>
                <w:szCs w:val="17"/>
              </w:rPr>
              <w:t>76</w:t>
            </w:r>
          </w:p>
        </w:tc>
      </w:tr>
    </w:tbl>
    <w:p w14:paraId="7B6410B8" w14:textId="77777777" w:rsidR="00A244A0" w:rsidRDefault="00A244A0" w:rsidP="00D02165">
      <w:pPr>
        <w:widowControl w:val="0"/>
        <w:spacing w:line="420" w:lineRule="auto"/>
        <w:jc w:val="both"/>
        <w:rPr>
          <w:rFonts w:ascii="HY신명조" w:eastAsia="HY신명조" w:hAnsi="나눔고딕" w:cs="나눔고딕"/>
          <w:sz w:val="17"/>
          <w:szCs w:val="17"/>
          <w:lang w:eastAsia="ko"/>
        </w:rPr>
      </w:pPr>
    </w:p>
    <w:p w14:paraId="226E5818" w14:textId="27F9E64F" w:rsidR="00A244A0" w:rsidRDefault="00A244A0">
      <w:pPr>
        <w:rPr>
          <w:rFonts w:ascii="HY신명조" w:eastAsia="HY신명조" w:hAnsi="나눔고딕" w:cs="나눔고딕"/>
          <w:sz w:val="20"/>
          <w:szCs w:val="20"/>
        </w:rPr>
      </w:pPr>
      <w:r>
        <w:rPr>
          <w:rFonts w:ascii="HY신명조" w:eastAsia="HY신명조" w:hAnsi="나눔고딕" w:cs="나눔고딕"/>
          <w:sz w:val="20"/>
          <w:szCs w:val="20"/>
        </w:rPr>
        <w:br w:type="page"/>
      </w:r>
    </w:p>
    <w:p w14:paraId="7E365247" w14:textId="705C765C" w:rsidR="00286A95" w:rsidRPr="007F5E62" w:rsidRDefault="00AB7484" w:rsidP="00C831C9">
      <w:pPr>
        <w:widowControl w:val="0"/>
        <w:spacing w:line="420" w:lineRule="auto"/>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lastRenderedPageBreak/>
        <w:t>H</w:t>
      </w:r>
      <w:r w:rsidRPr="007F5E62">
        <w:rPr>
          <w:rFonts w:ascii="HY신명조" w:eastAsia="HY신명조" w:hAnsi="나눔고딕" w:cs="나눔고딕" w:hint="eastAsia"/>
          <w:sz w:val="20"/>
          <w:szCs w:val="20"/>
          <w:vertAlign w:val="subscript"/>
        </w:rPr>
        <w:t>o</w:t>
      </w:r>
      <w:r w:rsidRPr="007F5E62">
        <w:rPr>
          <w:rFonts w:ascii="HY신명조" w:eastAsia="HY신명조" w:hAnsi="나눔고딕" w:cs="나눔고딕" w:hint="eastAsia"/>
          <w:sz w:val="20"/>
          <w:szCs w:val="20"/>
        </w:rPr>
        <w:t>: Coverage와 Expcoverage는 약한 상관관계를 가진다</w:t>
      </w:r>
      <w:r w:rsidR="00AB2546" w:rsidRPr="007F5E62">
        <w:rPr>
          <w:rFonts w:ascii="HY신명조" w:eastAsia="HY신명조" w:hAnsi="나눔고딕" w:cs="나눔고딕" w:hint="eastAsia"/>
          <w:sz w:val="20"/>
          <w:szCs w:val="20"/>
        </w:rPr>
        <w:t>’</w:t>
      </w:r>
    </w:p>
    <w:p w14:paraId="26359D83" w14:textId="77777777" w:rsidR="00AB2546" w:rsidRPr="007F5E62" w:rsidRDefault="00AB2546" w:rsidP="00C831C9">
      <w:pPr>
        <w:widowControl w:val="0"/>
        <w:spacing w:line="420" w:lineRule="auto"/>
        <w:jc w:val="both"/>
        <w:rPr>
          <w:rFonts w:ascii="HY신명조" w:eastAsia="HY신명조" w:hAnsi="나눔고딕" w:cs="나눔고딕"/>
          <w:sz w:val="20"/>
          <w:szCs w:val="20"/>
        </w:rPr>
      </w:pPr>
    </w:p>
    <w:p w14:paraId="04FF6B87" w14:textId="56604BC6" w:rsidR="00286A95" w:rsidRPr="007F5E62" w:rsidRDefault="00B91AE2" w:rsidP="00C831C9">
      <w:pPr>
        <w:widowControl w:val="0"/>
        <w:spacing w:line="420" w:lineRule="auto"/>
        <w:jc w:val="both"/>
        <w:rPr>
          <w:rFonts w:ascii="HY신명조" w:eastAsia="HY신명조" w:hAnsi="나눔고딕" w:cs="나눔고딕"/>
          <w:sz w:val="20"/>
          <w:szCs w:val="20"/>
        </w:rPr>
      </w:pPr>
      <m:oMathPara>
        <m:oMath>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α</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lexpcoverage</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r>
            <w:rPr>
              <w:rFonts w:ascii="Cambria Math" w:eastAsia="HY신명조" w:hAnsi="Cambria Math" w:cs="Cambria Math"/>
              <w:sz w:val="20"/>
              <w:szCs w:val="20"/>
            </w:rPr>
            <m:t>γ</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Z</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Year</m:t>
              </m:r>
              <m:r>
                <w:rPr>
                  <w:rFonts w:ascii="Cambria Math" w:eastAsia="HY신명조" w:hAnsi="Cambria Math" w:cs="나눔고딕" w:hint="eastAsia"/>
                  <w:sz w:val="20"/>
                  <w:szCs w:val="20"/>
                </w:rPr>
                <m:t xml:space="preserve"> </m:t>
              </m:r>
            </m:e>
            <m:sub>
              <m:r>
                <w:rPr>
                  <w:rFonts w:ascii="Cambria Math" w:eastAsia="HY신명조" w:hAnsi="Cambria Math" w:cs="Cambria Math"/>
                  <w:sz w:val="20"/>
                  <w:szCs w:val="20"/>
                </w:rPr>
                <m:t>t</m:t>
              </m:r>
            </m:sub>
          </m:sSub>
          <m:r>
            <w:rPr>
              <w:rFonts w:ascii="Cambria Math" w:eastAsia="HY신명조" w:hAnsi="Cambria Math" w:cs="나눔고딕" w:hint="eastAsia"/>
              <w:sz w:val="20"/>
              <w:szCs w:val="20"/>
            </w:rPr>
            <m:t xml:space="preserve">+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Company</m:t>
              </m:r>
            </m:e>
            <m:sub>
              <m:r>
                <w:rPr>
                  <w:rFonts w:ascii="Cambria Math" w:eastAsia="HY신명조" w:hAnsi="Cambria Math" w:cs="Cambria Math"/>
                  <w:sz w:val="20"/>
                  <w:szCs w:val="20"/>
                </w:rPr>
                <m:t>i</m:t>
              </m:r>
            </m:sub>
          </m:sSub>
          <m:r>
            <w:rPr>
              <w:rFonts w:ascii="Cambria Math" w:eastAsia="HY신명조" w:hAnsi="Cambria Math" w:cs="나눔고딕" w:hint="eastAsia"/>
              <w:sz w:val="20"/>
              <w:szCs w:val="20"/>
            </w:rPr>
            <m:t xml:space="preserve"> + </m:t>
          </m:r>
          <m:sSub>
            <m:sSubPr>
              <m:ctrlPr>
                <w:rPr>
                  <w:rFonts w:ascii="Cambria Math" w:eastAsia="HY신명조" w:hAnsi="Cambria Math" w:cs="Cambria Math" w:hint="eastAsia"/>
                  <w:i/>
                  <w:sz w:val="20"/>
                  <w:szCs w:val="20"/>
                </w:rPr>
              </m:ctrlPr>
            </m:sSubPr>
            <m:e>
              <m:r>
                <w:rPr>
                  <w:rFonts w:ascii="Cambria Math" w:eastAsia="HY신명조" w:hAnsi="Cambria Math" w:cs="Cambria Math"/>
                  <w:sz w:val="20"/>
                  <w:szCs w:val="20"/>
                </w:rPr>
                <m:t>ϵ</m:t>
              </m:r>
            </m:e>
            <m:sub>
              <m:r>
                <w:rPr>
                  <w:rFonts w:ascii="Cambria Math" w:eastAsia="HY신명조" w:hAnsi="Cambria Math" w:cs="Cambria Math"/>
                  <w:sz w:val="20"/>
                  <w:szCs w:val="20"/>
                </w:rPr>
                <m:t>i</m:t>
              </m:r>
              <m:r>
                <w:rPr>
                  <w:rFonts w:ascii="Cambria Math" w:eastAsia="HY신명조" w:hAnsi="Cambria Math" w:cs="나눔고딕" w:hint="eastAsia"/>
                  <w:sz w:val="20"/>
                  <w:szCs w:val="20"/>
                </w:rPr>
                <m:t>,</m:t>
              </m:r>
              <m:r>
                <w:rPr>
                  <w:rFonts w:ascii="Cambria Math" w:eastAsia="HY신명조" w:hAnsi="Cambria Math" w:cs="Cambria Math"/>
                  <w:sz w:val="20"/>
                  <w:szCs w:val="20"/>
                </w:rPr>
                <m:t>t</m:t>
              </m:r>
            </m:sub>
          </m:sSub>
        </m:oMath>
      </m:oMathPara>
    </w:p>
    <w:p w14:paraId="55CCC5BA" w14:textId="77777777" w:rsidR="00286A95" w:rsidRPr="007F5E62" w:rsidRDefault="00286A95" w:rsidP="00C831C9">
      <w:pPr>
        <w:widowControl w:val="0"/>
        <w:spacing w:line="420" w:lineRule="auto"/>
        <w:jc w:val="both"/>
        <w:rPr>
          <w:rFonts w:ascii="HY신명조" w:eastAsia="HY신명조" w:hAnsi="나눔고딕" w:cs="나눔고딕"/>
          <w:sz w:val="20"/>
          <w:szCs w:val="20"/>
        </w:rPr>
      </w:pPr>
    </w:p>
    <w:p w14:paraId="2BCA4671" w14:textId="0B98341B" w:rsidR="00286A95" w:rsidRPr="007F5E62" w:rsidRDefault="00AB7484" w:rsidP="002B38B1">
      <w:pPr>
        <w:widowControl w:val="0"/>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첫번째 lcoverage</w:t>
      </w:r>
      <w:r w:rsidR="00C73EA7" w:rsidRPr="007F5E62">
        <w:rPr>
          <w:rFonts w:ascii="HY신명조" w:eastAsia="HY신명조" w:hAnsi="나눔고딕" w:cs="나눔고딕" w:hint="eastAsia"/>
          <w:sz w:val="20"/>
          <w:szCs w:val="20"/>
        </w:rPr>
        <w:t>는</w:t>
      </w:r>
      <w:r w:rsidRPr="007F5E62">
        <w:rPr>
          <w:rFonts w:ascii="HY신명조" w:eastAsia="HY신명조" w:hAnsi="나눔고딕" w:cs="나눔고딕" w:hint="eastAsia"/>
          <w:sz w:val="20"/>
          <w:szCs w:val="20"/>
        </w:rPr>
        <w:t xml:space="preserve"> 종속변수, 예상 커버리지수 및 기존의 통제변수들을 두고 회귀분석을 진행했다. Expcoverage는 Coverage와 유의미한 양의 강한 상관관계가 도출(표</w:t>
      </w:r>
      <w:r w:rsidR="00FD7C01" w:rsidRPr="007F5E62">
        <w:rPr>
          <w:rFonts w:ascii="HY신명조" w:eastAsia="HY신명조" w:hAnsi="나눔고딕" w:cs="나눔고딕" w:hint="eastAsia"/>
          <w:sz w:val="20"/>
          <w:szCs w:val="20"/>
        </w:rPr>
        <w:t>4</w:t>
      </w:r>
      <w:r w:rsidRPr="007F5E62">
        <w:rPr>
          <w:rFonts w:ascii="HY신명조" w:eastAsia="HY신명조" w:hAnsi="나눔고딕" w:cs="나눔고딕" w:hint="eastAsia"/>
          <w:sz w:val="20"/>
          <w:szCs w:val="20"/>
        </w:rPr>
        <w:t xml:space="preserve">, 1열)되었다. 통계적으로 1% 수준에서 유의하며 t 값은 88.5로 도구변수는 충분히 강한 상관관계를 가졌다. Coverage와 Expcoverage는 약한 상관관계를 가진다는 가설은 기각된다. 따라서 첫 단계에서 생성된 </w:t>
      </w:r>
      <w:r w:rsidR="00FD7C01" w:rsidRPr="007F5E62">
        <w:rPr>
          <w:rFonts w:ascii="HY신명조" w:eastAsia="HY신명조" w:hAnsi="나눔고딕" w:cs="나눔고딕" w:hint="eastAsia"/>
          <w:sz w:val="20"/>
          <w:szCs w:val="20"/>
        </w:rPr>
        <w:t>lex</w:t>
      </w:r>
      <w:r w:rsidRPr="007F5E62">
        <w:rPr>
          <w:rFonts w:ascii="HY신명조" w:eastAsia="HY신명조" w:hAnsi="나눔고딕" w:cs="나눔고딕" w:hint="eastAsia"/>
          <w:sz w:val="20"/>
          <w:szCs w:val="20"/>
        </w:rPr>
        <w:t xml:space="preserve">pcoverage 값을 </w:t>
      </w:r>
      <w:r w:rsidR="00FD7C01" w:rsidRPr="007F5E62">
        <w:rPr>
          <w:rFonts w:ascii="HY신명조" w:eastAsia="HY신명조" w:hAnsi="나눔고딕" w:cs="나눔고딕" w:hint="eastAsia"/>
          <w:sz w:val="20"/>
          <w:szCs w:val="20"/>
        </w:rPr>
        <w:t>lc</w:t>
      </w:r>
      <w:r w:rsidRPr="007F5E62">
        <w:rPr>
          <w:rFonts w:ascii="HY신명조" w:eastAsia="HY신명조" w:hAnsi="나눔고딕" w:cs="나눔고딕" w:hint="eastAsia"/>
          <w:sz w:val="20"/>
          <w:szCs w:val="20"/>
        </w:rPr>
        <w:t xml:space="preserve">overage 대신 사용하여 두번째 OLS를 진행했다. </w:t>
      </w:r>
    </w:p>
    <w:p w14:paraId="4D5B921C" w14:textId="51CEA2BF" w:rsidR="00286A95" w:rsidRPr="007F5E62" w:rsidRDefault="00AB7484" w:rsidP="002B38B1">
      <w:pPr>
        <w:widowControl w:val="0"/>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두번째 회귀 결과는 표</w:t>
      </w:r>
      <w:r w:rsidR="00F633EC" w:rsidRPr="007F5E62">
        <w:rPr>
          <w:rFonts w:ascii="HY신명조" w:eastAsia="HY신명조" w:hAnsi="나눔고딕" w:cs="나눔고딕" w:hint="eastAsia"/>
          <w:sz w:val="20"/>
          <w:szCs w:val="20"/>
        </w:rPr>
        <w:t>4</w:t>
      </w:r>
      <w:r w:rsidRPr="007F5E62">
        <w:rPr>
          <w:rFonts w:ascii="HY신명조" w:eastAsia="HY신명조" w:hAnsi="나눔고딕" w:cs="나눔고딕" w:hint="eastAsia"/>
          <w:sz w:val="20"/>
          <w:szCs w:val="20"/>
        </w:rPr>
        <w:t xml:space="preserve">의 2열에 정리했다. 도구변수의 회귀분석 후 </w:t>
      </w:r>
      <w:r w:rsidR="00101AA7">
        <w:rPr>
          <w:rFonts w:ascii="HY신명조" w:eastAsia="HY신명조" w:hAnsi="나눔고딕" w:cs="나눔고딕" w:hint="eastAsia"/>
          <w:sz w:val="20"/>
          <w:szCs w:val="20"/>
        </w:rPr>
        <w:t>예상 커버리지수</w:t>
      </w:r>
      <w:r w:rsidRPr="007F5E62">
        <w:rPr>
          <w:rFonts w:ascii="HY신명조" w:eastAsia="HY신명조" w:hAnsi="나눔고딕" w:cs="나눔고딕" w:hint="eastAsia"/>
          <w:sz w:val="20"/>
          <w:szCs w:val="20"/>
        </w:rPr>
        <w:t>가 1% 증가할 때 혁신의 결과물은 +8.7%</w:t>
      </w:r>
      <w:r w:rsidR="003B2E4F">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10% 유의수준</w:t>
      </w:r>
      <w:r w:rsidR="003B2E4F">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으로 유의미</w:t>
      </w:r>
      <w:r w:rsidR="00101AA7">
        <w:rPr>
          <w:rFonts w:ascii="HY신명조" w:eastAsia="HY신명조" w:hAnsi="나눔고딕" w:cs="나눔고딕" w:hint="eastAsia"/>
          <w:sz w:val="20"/>
          <w:szCs w:val="20"/>
        </w:rPr>
        <w:t xml:space="preserve">하게 증가하는 </w:t>
      </w:r>
      <w:r w:rsidRPr="007F5E62">
        <w:rPr>
          <w:rFonts w:ascii="HY신명조" w:eastAsia="HY신명조" w:hAnsi="나눔고딕" w:cs="나눔고딕" w:hint="eastAsia"/>
          <w:sz w:val="20"/>
          <w:szCs w:val="20"/>
        </w:rPr>
        <w:t>결과가 도출되었다. 2단계 최소제곱법을 통해 산출한 lpatent에 대한 lcoverage의 계수가 내생성을 해소하지 않은 회귀 분석(표</w:t>
      </w:r>
      <w:r w:rsidR="00F633EC" w:rsidRPr="007F5E62">
        <w:rPr>
          <w:rFonts w:ascii="HY신명조" w:eastAsia="HY신명조" w:hAnsi="나눔고딕" w:cs="나눔고딕" w:hint="eastAsia"/>
          <w:sz w:val="20"/>
          <w:szCs w:val="20"/>
        </w:rPr>
        <w:t>3</w:t>
      </w:r>
      <w:r w:rsidRPr="007F5E62">
        <w:rPr>
          <w:rFonts w:ascii="HY신명조" w:eastAsia="HY신명조" w:hAnsi="나눔고딕" w:cs="나눔고딕" w:hint="eastAsia"/>
          <w:sz w:val="20"/>
          <w:szCs w:val="20"/>
        </w:rPr>
        <w:t>, 4열)에는 0.102였으나 도구변수를 통해 내생성을 통제한 회귀 분석(표</w:t>
      </w:r>
      <w:r w:rsidR="00FD7C01" w:rsidRPr="007F5E62">
        <w:rPr>
          <w:rFonts w:ascii="HY신명조" w:eastAsia="HY신명조" w:hAnsi="나눔고딕" w:cs="나눔고딕" w:hint="eastAsia"/>
          <w:sz w:val="20"/>
          <w:szCs w:val="20"/>
        </w:rPr>
        <w:t>4</w:t>
      </w:r>
      <w:r w:rsidRPr="007F5E62">
        <w:rPr>
          <w:rFonts w:ascii="HY신명조" w:eastAsia="HY신명조" w:hAnsi="나눔고딕" w:cs="나눔고딕" w:hint="eastAsia"/>
          <w:sz w:val="20"/>
          <w:szCs w:val="20"/>
        </w:rPr>
        <w:t>, 2)에서는 0.087으로 감소했다. 따라서 내생적인 변수는 lcoverage의 계수를 증가시키는 상향 편향(upward bias)를 가진다. He,</w:t>
      </w:r>
      <w:r w:rsidR="00E70BE7">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Tian(2013)에서 내생변수로 인해 상향 편향이 생긴 것과 동일한 결과이다. 선행연구에서 언급되었던 경영진의 우수성은 변수로 계량하기 어렵기 때문에 내생변수일 가능성이 높다. 우수한 경영진은 기업 성장을 위해 장기간의 시간과 대규모 투자가 필요한 기술혁신에 중시할 가능성이 높고 그 결과 특허수는 증가할 것이다. </w:t>
      </w:r>
    </w:p>
    <w:p w14:paraId="3EBEB6DD" w14:textId="42D69501" w:rsidR="00286A95" w:rsidRPr="007F5E62" w:rsidRDefault="00AB7484" w:rsidP="002B38B1">
      <w:pPr>
        <w:widowControl w:val="0"/>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2단계 최소제곱법(2SLS)를 통해 내생성을 해결한 결과에서 애널리스트의 커버리지는 기업의 혁신 산출물인 특허수에 1</w:t>
      </w:r>
      <w:r w:rsidR="005B4D28" w:rsidRPr="007F5E62">
        <w:rPr>
          <w:rFonts w:ascii="HY신명조" w:eastAsia="HY신명조" w:hAnsi="나눔고딕" w:cs="나눔고딕" w:hint="eastAsia"/>
          <w:sz w:val="20"/>
          <w:szCs w:val="20"/>
        </w:rPr>
        <w:t>0</w:t>
      </w:r>
      <w:r w:rsidRPr="007F5E62">
        <w:rPr>
          <w:rFonts w:ascii="HY신명조" w:eastAsia="HY신명조" w:hAnsi="나눔고딕" w:cs="나눔고딕" w:hint="eastAsia"/>
          <w:sz w:val="20"/>
          <w:szCs w:val="20"/>
        </w:rPr>
        <w:t xml:space="preserve">% 유의수준에서 유의미한 양의 계수가 계산되었다. 기존의 패널 회귀분석과 동일한 방향의 인과적 관계가 도출된 것이다. </w:t>
      </w:r>
      <w:r w:rsidR="00335754" w:rsidRPr="007F5E62">
        <w:rPr>
          <w:rFonts w:ascii="HY신명조" w:eastAsia="HY신명조" w:hAnsi="나눔고딕" w:cs="나눔고딕" w:hint="eastAsia"/>
          <w:sz w:val="20"/>
          <w:szCs w:val="20"/>
        </w:rPr>
        <w:t xml:space="preserve">흥미롭게도 미국 상장사를 대상으로 진행한 유사연구와는 인과관계가 반대방향으로 도출되었다. 그러나 이 차이는 한국과 미국의 경제, 자본시장 구조적 </w:t>
      </w:r>
      <w:r w:rsidR="00335754" w:rsidRPr="007F5E62">
        <w:rPr>
          <w:rFonts w:ascii="HY신명조" w:eastAsia="HY신명조" w:hAnsi="나눔고딕" w:cs="나눔고딕" w:hint="eastAsia"/>
          <w:sz w:val="20"/>
          <w:szCs w:val="20"/>
        </w:rPr>
        <w:lastRenderedPageBreak/>
        <w:t>특징이 발현된 것으로 판단되며 구체적인 설명을 다음 절에서 하기로 한다.</w:t>
      </w:r>
    </w:p>
    <w:p w14:paraId="357A1A2C" w14:textId="77777777" w:rsidR="00286A95" w:rsidRPr="007F5E62" w:rsidRDefault="00286A95" w:rsidP="00C831C9">
      <w:pPr>
        <w:widowControl w:val="0"/>
        <w:spacing w:line="420" w:lineRule="auto"/>
        <w:jc w:val="both"/>
        <w:rPr>
          <w:rFonts w:ascii="HY신명조" w:eastAsia="HY신명조" w:hAnsi="나눔고딕" w:cs="나눔고딕"/>
          <w:sz w:val="20"/>
          <w:szCs w:val="20"/>
        </w:rPr>
      </w:pPr>
    </w:p>
    <w:p w14:paraId="284AD451" w14:textId="73BBA4BD" w:rsidR="00286A95" w:rsidRPr="007F5E62" w:rsidRDefault="00335754" w:rsidP="00117637">
      <w:pPr>
        <w:widowControl w:val="0"/>
        <w:numPr>
          <w:ilvl w:val="1"/>
          <w:numId w:val="3"/>
        </w:numPr>
        <w:pBdr>
          <w:top w:val="nil"/>
          <w:left w:val="nil"/>
          <w:bottom w:val="nil"/>
          <w:right w:val="nil"/>
          <w:between w:val="nil"/>
        </w:pBdr>
        <w:tabs>
          <w:tab w:val="left" w:pos="567"/>
        </w:tabs>
        <w:spacing w:line="420" w:lineRule="auto"/>
        <w:ind w:left="283" w:hangingChars="109" w:hanging="283"/>
        <w:jc w:val="both"/>
        <w:rPr>
          <w:rFonts w:ascii="HY신명조" w:eastAsia="HY신명조" w:hAnsi="나눔고딕" w:cs="나눔고딕"/>
          <w:sz w:val="26"/>
          <w:szCs w:val="26"/>
        </w:rPr>
      </w:pPr>
      <w:r w:rsidRPr="007F5E62">
        <w:rPr>
          <w:rFonts w:ascii="HY신명조" w:eastAsia="HY신명조" w:hAnsi="나눔고딕" w:cs="나눔고딕" w:hint="eastAsia"/>
          <w:sz w:val="26"/>
          <w:szCs w:val="26"/>
        </w:rPr>
        <w:t>실증 결과의 해석</w:t>
      </w:r>
    </w:p>
    <w:p w14:paraId="59BFE218" w14:textId="13B1EE30"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애널리스트의 커버리지가 상장 기업의 기술혁신과 양의 유의미한 인과관계를 가진다는 결과가 도출되었다. </w:t>
      </w:r>
      <w:r w:rsidR="00E35ED0" w:rsidRPr="007F5E62">
        <w:rPr>
          <w:rFonts w:ascii="HY신명조" w:eastAsia="HY신명조" w:hAnsi="나눔고딕" w:cs="나눔고딕" w:hint="eastAsia"/>
          <w:sz w:val="20"/>
          <w:szCs w:val="20"/>
        </w:rPr>
        <w:t xml:space="preserve">과거 </w:t>
      </w:r>
      <w:r w:rsidRPr="007F5E62">
        <w:rPr>
          <w:rFonts w:ascii="HY신명조" w:eastAsia="HY신명조" w:hAnsi="나눔고딕" w:cs="나눔고딕" w:hint="eastAsia"/>
          <w:sz w:val="20"/>
          <w:szCs w:val="20"/>
        </w:rPr>
        <w:t>미국 주식 시장에서 애널리스트의 영향력은 상장 기업의 경영자가 단기 성과</w:t>
      </w:r>
      <w:r w:rsidR="00E35ED0" w:rsidRPr="007F5E62">
        <w:rPr>
          <w:rFonts w:ascii="HY신명조" w:eastAsia="HY신명조" w:hAnsi="나눔고딕" w:cs="나눔고딕" w:hint="eastAsia"/>
          <w:sz w:val="20"/>
          <w:szCs w:val="20"/>
        </w:rPr>
        <w:t>를</w:t>
      </w:r>
      <w:r w:rsidRPr="007F5E62">
        <w:rPr>
          <w:rFonts w:ascii="HY신명조" w:eastAsia="HY신명조" w:hAnsi="나눔고딕" w:cs="나눔고딕" w:hint="eastAsia"/>
          <w:sz w:val="20"/>
          <w:szCs w:val="20"/>
        </w:rPr>
        <w:t xml:space="preserve"> </w:t>
      </w:r>
      <w:r w:rsidR="00E35ED0" w:rsidRPr="007F5E62">
        <w:rPr>
          <w:rFonts w:ascii="HY신명조" w:eastAsia="HY신명조" w:hAnsi="나눔고딕" w:cs="나눔고딕" w:hint="eastAsia"/>
          <w:sz w:val="20"/>
          <w:szCs w:val="20"/>
        </w:rPr>
        <w:t>중시</w:t>
      </w:r>
      <w:r w:rsidRPr="007F5E62">
        <w:rPr>
          <w:rFonts w:ascii="HY신명조" w:eastAsia="HY신명조" w:hAnsi="나눔고딕" w:cs="나눔고딕" w:hint="eastAsia"/>
          <w:sz w:val="20"/>
          <w:szCs w:val="20"/>
        </w:rPr>
        <w:t xml:space="preserve">하여 장기, 대규모 투자가 필요한 혁신 활동을 저해한다는 결과가 나왔다. 기관투자자들의 영향력, 피인수합병 가능성, 주식 거래의 유동성, 발생주의적 회계 등을 통해 두 변수 간의 음의 인과관계를 설명했다. </w:t>
      </w:r>
    </w:p>
    <w:p w14:paraId="21D4ACC0" w14:textId="0DE0528D"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한국은 기업의 지배구조, 애널리스트 커버리지의 편향성, 제한적인 M&amp;A 환경으로 인해 애널리스트가 기업 혁신을 촉진시키는 긍정적인 영향력을 가진다. 우선 한국은 주주의 영향력이 상대적으로 작다. 재벌 중심의 대기업이 경제 성장을 견인하면서 가족 구성원의 최대주주가 소수의 지분</w:t>
      </w:r>
      <w:r w:rsidRPr="007F5E62">
        <w:rPr>
          <w:rFonts w:ascii="HY신명조" w:eastAsia="HY신명조" w:hAnsi="나눔고딕" w:cs="나눔고딕" w:hint="eastAsia"/>
          <w:sz w:val="20"/>
          <w:szCs w:val="20"/>
          <w:vertAlign w:val="superscript"/>
        </w:rPr>
        <w:footnoteReference w:id="6"/>
      </w:r>
      <w:r w:rsidRPr="007F5E62">
        <w:rPr>
          <w:rFonts w:ascii="HY신명조" w:eastAsia="HY신명조" w:hAnsi="나눔고딕" w:cs="나눔고딕" w:hint="eastAsia"/>
          <w:sz w:val="20"/>
          <w:szCs w:val="20"/>
        </w:rPr>
        <w:t xml:space="preserve">으로 기업 경영권을 지배한다. 전문경영인보다는 가족 중심의 경영이 일반화되어 있기 때문에 타 주주의 영향력이 약화되었다. 안세연(2021)에 따르면 </w:t>
      </w:r>
      <w:r w:rsidR="00321305" w:rsidRPr="007F5E62">
        <w:rPr>
          <w:rFonts w:ascii="HY신명조" w:eastAsia="HY신명조" w:hAnsi="나눔고딕" w:cs="나눔고딕" w:hint="eastAsia"/>
          <w:sz w:val="20"/>
          <w:szCs w:val="20"/>
        </w:rPr>
        <w:t xml:space="preserve">지분을 가진 </w:t>
      </w:r>
      <w:r w:rsidRPr="007F5E62">
        <w:rPr>
          <w:rFonts w:ascii="HY신명조" w:eastAsia="HY신명조" w:hAnsi="나눔고딕" w:cs="나눔고딕" w:hint="eastAsia"/>
          <w:sz w:val="20"/>
          <w:szCs w:val="20"/>
        </w:rPr>
        <w:t>가족</w:t>
      </w:r>
      <w:r w:rsidR="00321305" w:rsidRPr="007F5E62">
        <w:rPr>
          <w:rFonts w:ascii="HY신명조" w:eastAsia="HY신명조" w:hAnsi="나눔고딕" w:cs="나눔고딕" w:hint="eastAsia"/>
          <w:sz w:val="20"/>
          <w:szCs w:val="20"/>
        </w:rPr>
        <w:t>의</w:t>
      </w:r>
      <w:r w:rsidRPr="007F5E62">
        <w:rPr>
          <w:rFonts w:ascii="HY신명조" w:eastAsia="HY신명조" w:hAnsi="나눔고딕" w:cs="나눔고딕" w:hint="eastAsia"/>
          <w:sz w:val="20"/>
          <w:szCs w:val="20"/>
        </w:rPr>
        <w:t xml:space="preserve"> 다수</w:t>
      </w:r>
      <w:r w:rsidR="00321305" w:rsidRPr="007F5E62">
        <w:rPr>
          <w:rFonts w:ascii="HY신명조" w:eastAsia="HY신명조" w:hAnsi="나눔고딕" w:cs="나눔고딕" w:hint="eastAsia"/>
          <w:sz w:val="20"/>
          <w:szCs w:val="20"/>
        </w:rPr>
        <w:t>가 경영에 참여하면</w:t>
      </w:r>
      <w:r w:rsidRPr="007F5E62">
        <w:rPr>
          <w:rFonts w:ascii="HY신명조" w:eastAsia="HY신명조" w:hAnsi="나눔고딕" w:cs="나눔고딕" w:hint="eastAsia"/>
          <w:sz w:val="20"/>
          <w:szCs w:val="20"/>
        </w:rPr>
        <w:t xml:space="preserve"> 기술 지향성에 부정적 영향을 미친다. 상장사의 지분율이 높은 국내 연기금 역시 아직 주주 행사에는 소극적이다. 단지 외국인 주주는 높은 지분율을 확보할 경우 적극적으로 주주 환원을 요구하기 때문에 본 연구 결과에서도 외국인 지분율은 특허수와 음의 </w:t>
      </w:r>
      <w:r w:rsidR="00EF2EEC">
        <w:rPr>
          <w:rFonts w:ascii="HY신명조" w:eastAsia="HY신명조" w:hAnsi="나눔고딕" w:cs="나눔고딕" w:hint="eastAsia"/>
          <w:sz w:val="20"/>
          <w:szCs w:val="20"/>
        </w:rPr>
        <w:t>베타</w:t>
      </w:r>
      <w:r w:rsidRPr="007F5E62">
        <w:rPr>
          <w:rFonts w:ascii="HY신명조" w:eastAsia="HY신명조" w:hAnsi="나눔고딕" w:cs="나눔고딕" w:hint="eastAsia"/>
          <w:sz w:val="20"/>
          <w:szCs w:val="20"/>
        </w:rPr>
        <w:t>계수가 도출되었다.</w:t>
      </w:r>
      <w:r w:rsidR="00335754" w:rsidRPr="007F5E62">
        <w:rPr>
          <w:rFonts w:ascii="HY신명조" w:eastAsia="HY신명조" w:hAnsi="나눔고딕" w:cs="나눔고딕" w:hint="eastAsia"/>
          <w:sz w:val="20"/>
          <w:szCs w:val="20"/>
        </w:rPr>
        <w:t xml:space="preserve"> </w:t>
      </w:r>
    </w:p>
    <w:p w14:paraId="0BB9B9B7" w14:textId="19944373" w:rsidR="00286A95" w:rsidRP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한편 Sun,</w:t>
      </w:r>
      <w:r w:rsidR="00EF2EEC">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Carrete,</w:t>
      </w:r>
      <w:r w:rsidR="00EF2EEC">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Tavares(2017)의 연구결과에 따르면 신흥 시장의 정보 비대칭성이 심하고 애널리스트의 투자의견은 상향 편의가 강하다. 한국 역시 애널리스트 보고서의 투자의견은 매수 이상의 </w:t>
      </w:r>
      <w:r w:rsidR="007F03AB" w:rsidRPr="007F5E62">
        <w:rPr>
          <w:rFonts w:ascii="HY신명조" w:eastAsia="HY신명조" w:hAnsi="나눔고딕" w:cs="나눔고딕" w:hint="eastAsia"/>
          <w:sz w:val="20"/>
          <w:szCs w:val="20"/>
        </w:rPr>
        <w:t xml:space="preserve">상향 </w:t>
      </w:r>
      <w:r w:rsidRPr="007F5E62">
        <w:rPr>
          <w:rFonts w:ascii="HY신명조" w:eastAsia="HY신명조" w:hAnsi="나눔고딕" w:cs="나눔고딕" w:hint="eastAsia"/>
          <w:sz w:val="20"/>
          <w:szCs w:val="20"/>
        </w:rPr>
        <w:t xml:space="preserve">편의가 심하다. 국내 상장사가 단기 실적이 시장 기대치에 미치지 </w:t>
      </w:r>
      <w:r w:rsidR="00C73EA7" w:rsidRPr="007F5E62">
        <w:rPr>
          <w:rFonts w:ascii="HY신명조" w:eastAsia="HY신명조" w:hAnsi="나눔고딕" w:cs="나눔고딕" w:hint="eastAsia"/>
          <w:sz w:val="20"/>
          <w:szCs w:val="20"/>
        </w:rPr>
        <w:t>못하더라도</w:t>
      </w:r>
      <w:r w:rsidRPr="007F5E62">
        <w:rPr>
          <w:rFonts w:ascii="HY신명조" w:eastAsia="HY신명조" w:hAnsi="나눔고딕" w:cs="나눔고딕" w:hint="eastAsia"/>
          <w:sz w:val="20"/>
          <w:szCs w:val="20"/>
        </w:rPr>
        <w:t xml:space="preserve"> 애널리스트는 투자의견을</w:t>
      </w:r>
      <w:r w:rsidR="000E7EA5" w:rsidRPr="007F5E62">
        <w:rPr>
          <w:rFonts w:ascii="HY신명조" w:eastAsia="HY신명조" w:hAnsi="나눔고딕" w:cs="나눔고딕" w:hint="eastAsia"/>
          <w:sz w:val="20"/>
          <w:szCs w:val="20"/>
        </w:rPr>
        <w:t xml:space="preserve"> 즉시</w:t>
      </w:r>
      <w:r w:rsidRPr="007F5E62">
        <w:rPr>
          <w:rFonts w:ascii="HY신명조" w:eastAsia="HY신명조" w:hAnsi="나눔고딕" w:cs="나눔고딕" w:hint="eastAsia"/>
          <w:sz w:val="20"/>
          <w:szCs w:val="20"/>
        </w:rPr>
        <w:t xml:space="preserve"> 중립 내지 매도로 전환하는 경우는 드물다. 오히려 기업이 혁신을 위한 투자 활동으로 </w:t>
      </w:r>
      <w:r w:rsidRPr="007F5E62">
        <w:rPr>
          <w:rFonts w:ascii="HY신명조" w:eastAsia="HY신명조" w:hAnsi="나눔고딕" w:cs="나눔고딕" w:hint="eastAsia"/>
          <w:sz w:val="20"/>
          <w:szCs w:val="20"/>
        </w:rPr>
        <w:lastRenderedPageBreak/>
        <w:t>재무 성과가 악화될 경우 애널리스트는 보고서를 통해 기업의 연구 개발 현황과 비전을 시장과 소통</w:t>
      </w:r>
      <w:r w:rsidR="0002237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임병권, 박재환</w:t>
      </w:r>
      <w:r w:rsidR="00022372">
        <w:rPr>
          <w:rFonts w:ascii="HY신명조" w:eastAsia="HY신명조" w:hAnsi="나눔고딕" w:cs="나눔고딕" w:hint="eastAsia"/>
          <w:sz w:val="20"/>
          <w:szCs w:val="20"/>
        </w:rPr>
        <w:t>,</w:t>
      </w:r>
      <w:r w:rsidR="002D1594">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2017)하는 역할을 한다. 이러한 소통은 정보가 부족한 투자자들이 기업의 가치를 중장기 관점으로 판단하게 하는 방어적인 기능</w:t>
      </w:r>
      <w:r w:rsidR="00022372">
        <w:rPr>
          <w:rFonts w:ascii="HY신명조" w:eastAsia="HY신명조" w:hAnsi="나눔고딕" w:cs="나눔고딕" w:hint="eastAsia"/>
          <w:sz w:val="20"/>
          <w:szCs w:val="20"/>
        </w:rPr>
        <w:t xml:space="preserve">이 </w:t>
      </w:r>
      <w:r w:rsidR="00942B74" w:rsidRPr="007F5E62">
        <w:rPr>
          <w:rFonts w:ascii="HY신명조" w:eastAsia="HY신명조" w:hAnsi="나눔고딕" w:cs="나눔고딕" w:hint="eastAsia"/>
          <w:sz w:val="20"/>
          <w:szCs w:val="20"/>
        </w:rPr>
        <w:t>된다</w:t>
      </w:r>
      <w:r w:rsidRPr="007F5E62">
        <w:rPr>
          <w:rFonts w:ascii="HY신명조" w:eastAsia="HY신명조" w:hAnsi="나눔고딕" w:cs="나눔고딕" w:hint="eastAsia"/>
          <w:sz w:val="20"/>
          <w:szCs w:val="20"/>
        </w:rPr>
        <w:t>.  또한 애널리스트는 보고서 이외 상장 기업의 경영진과 지속적으로 접촉하면서 산업과 경쟁 현황 정보를 제공</w:t>
      </w:r>
      <w:r w:rsidR="00022372">
        <w:rPr>
          <w:rFonts w:ascii="HY신명조" w:eastAsia="HY신명조" w:hAnsi="나눔고딕" w:cs="나눔고딕" w:hint="eastAsia"/>
          <w:sz w:val="20"/>
          <w:szCs w:val="20"/>
        </w:rPr>
        <w:t>(</w:t>
      </w:r>
      <w:r w:rsidRPr="007F5E62">
        <w:rPr>
          <w:rFonts w:ascii="HY신명조" w:eastAsia="HY신명조" w:hAnsi="나눔고딕" w:cs="나눔고딕" w:hint="eastAsia"/>
          <w:sz w:val="20"/>
          <w:szCs w:val="20"/>
        </w:rPr>
        <w:t>정석우, 한형성, 임태균</w:t>
      </w:r>
      <w:r w:rsidR="00022372">
        <w:rPr>
          <w:rFonts w:ascii="HY신명조" w:eastAsia="HY신명조" w:hAnsi="나눔고딕" w:cs="나눔고딕" w:hint="eastAsia"/>
          <w:sz w:val="20"/>
          <w:szCs w:val="20"/>
        </w:rPr>
        <w:t>,</w:t>
      </w:r>
      <w:r w:rsidR="002D1594">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2011)하여 기업의 혁신에 기여한다. </w:t>
      </w:r>
    </w:p>
    <w:p w14:paraId="47390781" w14:textId="32682AB9" w:rsidR="007F5E62" w:rsidRDefault="00AB7484" w:rsidP="002B38B1">
      <w:pPr>
        <w:widowControl w:val="0"/>
        <w:pBdr>
          <w:top w:val="nil"/>
          <w:left w:val="nil"/>
          <w:bottom w:val="nil"/>
          <w:right w:val="nil"/>
          <w:between w:val="nil"/>
        </w:pBd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끝으로 한국은 웨스턴 지역에 비해 연구기간(2003년~2012년)</w:t>
      </w:r>
      <w:r w:rsidR="0081082A" w:rsidRPr="007F5E62">
        <w:rPr>
          <w:rFonts w:ascii="HY신명조" w:eastAsia="HY신명조" w:hAnsi="나눔고딕" w:cs="나눔고딕" w:hint="eastAsia"/>
          <w:sz w:val="20"/>
          <w:szCs w:val="20"/>
        </w:rPr>
        <w:t>내</w:t>
      </w:r>
      <w:r w:rsidRPr="007F5E62">
        <w:rPr>
          <w:rFonts w:ascii="HY신명조" w:eastAsia="HY신명조" w:hAnsi="나눔고딕" w:cs="나눔고딕" w:hint="eastAsia"/>
          <w:sz w:val="20"/>
          <w:szCs w:val="20"/>
        </w:rPr>
        <w:t xml:space="preserve"> M&amp;A가 제한적</w:t>
      </w:r>
      <w:r w:rsidRPr="007F5E62">
        <w:rPr>
          <w:rFonts w:ascii="HY신명조" w:eastAsia="HY신명조" w:hAnsi="나눔고딕" w:cs="나눔고딕" w:hint="eastAsia"/>
          <w:sz w:val="20"/>
          <w:szCs w:val="20"/>
          <w:vertAlign w:val="superscript"/>
        </w:rPr>
        <w:footnoteReference w:id="7"/>
      </w:r>
      <w:r w:rsidRPr="007F5E62">
        <w:rPr>
          <w:rFonts w:ascii="HY신명조" w:eastAsia="HY신명조" w:hAnsi="나눔고딕" w:cs="나눔고딕" w:hint="eastAsia"/>
          <w:sz w:val="20"/>
          <w:szCs w:val="20"/>
        </w:rPr>
        <w:t>이</w:t>
      </w:r>
      <w:r w:rsidR="009F2ACE">
        <w:rPr>
          <w:rFonts w:ascii="HY신명조" w:eastAsia="HY신명조" w:hAnsi="나눔고딕" w:cs="나눔고딕" w:hint="eastAsia"/>
          <w:sz w:val="20"/>
          <w:szCs w:val="20"/>
        </w:rPr>
        <w:t>었</w:t>
      </w:r>
      <w:r w:rsidRPr="007F5E62">
        <w:rPr>
          <w:rFonts w:ascii="HY신명조" w:eastAsia="HY신명조" w:hAnsi="나눔고딕" w:cs="나눔고딕" w:hint="eastAsia"/>
          <w:sz w:val="20"/>
          <w:szCs w:val="20"/>
        </w:rPr>
        <w:t xml:space="preserve">다. 특히 적대적 M&amp;A 사례가 거의 없기 때문에 기술 혁신을 위한 대규모 투자로 인해 재무 구조가 취약해졌을 때 </w:t>
      </w:r>
      <w:r w:rsidR="00C73EA7" w:rsidRPr="007F5E62">
        <w:rPr>
          <w:rFonts w:ascii="HY신명조" w:eastAsia="HY신명조" w:hAnsi="나눔고딕" w:cs="나눔고딕" w:hint="eastAsia"/>
          <w:sz w:val="20"/>
          <w:szCs w:val="20"/>
        </w:rPr>
        <w:t>피</w:t>
      </w:r>
      <w:r w:rsidRPr="007F5E62">
        <w:rPr>
          <w:rFonts w:ascii="HY신명조" w:eastAsia="HY신명조" w:hAnsi="나눔고딕" w:cs="나눔고딕" w:hint="eastAsia"/>
          <w:sz w:val="20"/>
          <w:szCs w:val="20"/>
        </w:rPr>
        <w:t>인수 대상이 되는 리스크는 제한적이다. 앞의 3가지 이유를 고려할 때 한국 경제, 주식 시장 구조에서는 애널리스트의 영향력 때문에 상장사의 경영진이 단기 경영 성과에 집착할 가능성은 낮다. 오히려 애널리스트가 기업의 재무성과가 악화될 경우 그 원인을 분석하여 기술혁신의 과정에 나온 결과라</w:t>
      </w:r>
      <w:r w:rsidR="00335754" w:rsidRPr="007F5E62">
        <w:rPr>
          <w:rFonts w:ascii="HY신명조" w:eastAsia="HY신명조" w:hAnsi="나눔고딕" w:cs="나눔고딕" w:hint="eastAsia"/>
          <w:sz w:val="20"/>
          <w:szCs w:val="20"/>
        </w:rPr>
        <w:t xml:space="preserve">는 </w:t>
      </w:r>
      <w:r w:rsidRPr="007F5E62">
        <w:rPr>
          <w:rFonts w:ascii="HY신명조" w:eastAsia="HY신명조" w:hAnsi="나눔고딕" w:cs="나눔고딕" w:hint="eastAsia"/>
          <w:sz w:val="20"/>
          <w:szCs w:val="20"/>
        </w:rPr>
        <w:t xml:space="preserve">보고서를 통해 정보의 비대칭성을 해소하는 순기능이 강하다. </w:t>
      </w:r>
    </w:p>
    <w:p w14:paraId="5FDEFD10" w14:textId="77777777" w:rsidR="007F5E62" w:rsidRDefault="007F5E62" w:rsidP="00C831C9">
      <w:pPr>
        <w:spacing w:line="420" w:lineRule="auto"/>
        <w:jc w:val="both"/>
        <w:rPr>
          <w:rFonts w:ascii="HY신명조" w:eastAsia="HY신명조" w:hAnsi="나눔고딕" w:cs="나눔고딕"/>
          <w:sz w:val="20"/>
          <w:szCs w:val="20"/>
        </w:rPr>
      </w:pPr>
      <w:r>
        <w:rPr>
          <w:rFonts w:ascii="HY신명조" w:eastAsia="HY신명조" w:hAnsi="나눔고딕" w:cs="나눔고딕"/>
          <w:sz w:val="20"/>
          <w:szCs w:val="20"/>
        </w:rPr>
        <w:br w:type="page"/>
      </w:r>
    </w:p>
    <w:p w14:paraId="448CB869" w14:textId="77777777" w:rsidR="00286A95" w:rsidRPr="007F5E62"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결론</w:t>
      </w:r>
    </w:p>
    <w:p w14:paraId="658B5C4C" w14:textId="1011A5F7" w:rsidR="00286A95" w:rsidRPr="007F5E62" w:rsidRDefault="00AB7484" w:rsidP="002B38B1">
      <w:pP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 xml:space="preserve">본 연구는 국내 상장사를 대상으로 애널리스트의 영향력과 기업의 혁신 사이 인과관계를 처음 검증했다는 측면에서 의미가 있다. 또한 국내는 미국과 </w:t>
      </w:r>
      <w:r w:rsidR="00B53072" w:rsidRPr="007F5E62">
        <w:rPr>
          <w:rFonts w:ascii="HY신명조" w:eastAsia="HY신명조" w:hAnsi="나눔고딕" w:cs="나눔고딕" w:hint="eastAsia"/>
          <w:sz w:val="20"/>
          <w:szCs w:val="20"/>
        </w:rPr>
        <w:t>경제</w:t>
      </w:r>
      <w:r w:rsidRPr="007F5E62">
        <w:rPr>
          <w:rFonts w:ascii="HY신명조" w:eastAsia="HY신명조" w:hAnsi="나눔고딕" w:cs="나눔고딕" w:hint="eastAsia"/>
          <w:sz w:val="20"/>
          <w:szCs w:val="20"/>
        </w:rPr>
        <w:t xml:space="preserve">, </w:t>
      </w:r>
      <w:r w:rsidR="00B53072" w:rsidRPr="007F5E62">
        <w:rPr>
          <w:rFonts w:ascii="HY신명조" w:eastAsia="HY신명조" w:hAnsi="나눔고딕" w:cs="나눔고딕" w:hint="eastAsia"/>
          <w:sz w:val="20"/>
          <w:szCs w:val="20"/>
        </w:rPr>
        <w:t>자본시장 구조가</w:t>
      </w:r>
      <w:r w:rsidRPr="007F5E62">
        <w:rPr>
          <w:rFonts w:ascii="HY신명조" w:eastAsia="HY신명조" w:hAnsi="나눔고딕" w:cs="나눔고딕" w:hint="eastAsia"/>
          <w:sz w:val="20"/>
          <w:szCs w:val="20"/>
        </w:rPr>
        <w:t xml:space="preserve"> 상이하기 때문에 미국의 선행 연구결과와 </w:t>
      </w:r>
      <w:r w:rsidR="00B53072" w:rsidRPr="007F5E62">
        <w:rPr>
          <w:rFonts w:ascii="HY신명조" w:eastAsia="HY신명조" w:hAnsi="나눔고딕" w:cs="나눔고딕" w:hint="eastAsia"/>
          <w:sz w:val="20"/>
          <w:szCs w:val="20"/>
        </w:rPr>
        <w:t>상반되는 실증결과</w:t>
      </w:r>
      <w:r w:rsidR="00093665" w:rsidRPr="007F5E62">
        <w:rPr>
          <w:rFonts w:ascii="HY신명조" w:eastAsia="HY신명조" w:hAnsi="나눔고딕" w:cs="나눔고딕" w:hint="eastAsia"/>
          <w:sz w:val="20"/>
          <w:szCs w:val="20"/>
        </w:rPr>
        <w:t xml:space="preserve"> 도출되었으며</w:t>
      </w:r>
      <w:r w:rsidR="00B53072" w:rsidRPr="007F5E62">
        <w:rPr>
          <w:rFonts w:ascii="HY신명조" w:eastAsia="HY신명조" w:hAnsi="나눔고딕" w:cs="나눔고딕" w:hint="eastAsia"/>
          <w:sz w:val="20"/>
          <w:szCs w:val="20"/>
        </w:rPr>
        <w:t xml:space="preserve"> 그 이유에 대한 구조적 설명을 제공했다는 점에서 큰 의미가 있다. 즉 한국 주식시장에서는 애널리스트의 커버리지가 기업혁신에 긍정적인 영향을 준다는 커다란 시사점을 준다. </w:t>
      </w:r>
      <w:r w:rsidRPr="007F5E62">
        <w:rPr>
          <w:rFonts w:ascii="HY신명조" w:eastAsia="HY신명조" w:hAnsi="나눔고딕" w:cs="나눔고딕" w:hint="eastAsia"/>
          <w:sz w:val="20"/>
          <w:szCs w:val="20"/>
        </w:rPr>
        <w:t xml:space="preserve">기업 혁신에 애널리스트 커버리지의 영향을 검증하기 위해 패널 회귀분석을 진행하고 두 변수 사이의 내생성을 해소하기 위해 도구변수를 이용한 2단계최소제곱법(2SLS)를 추가로 수행했다. 우선 패널 회귀분석 결과 두 </w:t>
      </w:r>
      <w:r w:rsidR="00C73EA7" w:rsidRPr="007F5E62">
        <w:rPr>
          <w:rFonts w:ascii="HY신명조" w:eastAsia="HY신명조" w:hAnsi="나눔고딕" w:cs="나눔고딕" w:hint="eastAsia"/>
          <w:sz w:val="20"/>
          <w:szCs w:val="20"/>
        </w:rPr>
        <w:t>변수 뿐만</w:t>
      </w:r>
      <w:r w:rsidRPr="007F5E62">
        <w:rPr>
          <w:rFonts w:ascii="HY신명조" w:eastAsia="HY신명조" w:hAnsi="나눔고딕" w:cs="나눔고딕" w:hint="eastAsia"/>
          <w:sz w:val="20"/>
          <w:szCs w:val="20"/>
        </w:rPr>
        <w:t xml:space="preserve"> 아니라 선행연구에서 기업 혁신에 인과성이 나타난 기업, 재무, 투자 관련 변수를 통제했을 때 애널리스트의 커버리지는 기업 혁신의 산출물인 특허수에 유의미한 양의 관계를 가지는 것으로 분석되었다. 이후 도구변수를 사용한 검정에서 내생성을 제외했을 때 역시 유의미한 양의 관계나 나타났다. 미국에서 진행했던 He,</w:t>
      </w:r>
      <w:r w:rsidR="00111B90">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 xml:space="preserve">Tian(2013)의 선행연구가 애널리스트의 커버리지가 기업 혁신을 저해한다는 결론과는 반대의 결과이다 </w:t>
      </w:r>
    </w:p>
    <w:p w14:paraId="529B5589" w14:textId="77777777" w:rsidR="00286A95" w:rsidRPr="007F5E62" w:rsidRDefault="00AB7484" w:rsidP="002B38B1">
      <w:pP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t>미국 내 애널리스트의 커버리지는 상장사 경영진이 단기 실적을 중시하게 만들기 때문에 장기간 대규모 투자가 필요한 기술혁신이 둔화된다는 가정이다. 한국은 독특한 기업 지배구조 때문에 최대주주 이외 주주권리가 상대적으로 약하다. 또한 국내 애널리스트는 투자의견이 매수 중심의 상향 편의가 있기 때문에 단기적 실적 악화에 따라 투자의견을 쉽게 하향하지는 않는다. 한편 국내는 M&amp;A가 제한적이기 때문에 재무 실적 악화로 인해 적대적 M&amp;A 대상이 될 가능성이 역시 낮다. 국내 애널리스트는 기업이 연구개발 투자가 증가해서 실적이 악화될 경우 기업 투자의 미래 가치를 빠르게 투자자와 소통하면서 중장기 투자자들의 보유 기간을 확장하는데 기여한다. 또한 산업, 경쟁사 분석을 통해 찾아낸 인사이트를 상장사 경영진의 IR활동 과정에서 전달하고 공유하면서 기업 혁신의 당위성을 강조한다.</w:t>
      </w:r>
    </w:p>
    <w:p w14:paraId="61A2F259" w14:textId="55FF2216" w:rsidR="00286A95" w:rsidRPr="007F5E62" w:rsidRDefault="00AB7484" w:rsidP="002B38B1">
      <w:pPr>
        <w:spacing w:line="420" w:lineRule="auto"/>
        <w:ind w:firstLineChars="200" w:firstLine="400"/>
        <w:jc w:val="both"/>
        <w:rPr>
          <w:rFonts w:ascii="HY신명조" w:eastAsia="HY신명조" w:hAnsi="나눔고딕" w:cs="나눔고딕"/>
          <w:sz w:val="20"/>
          <w:szCs w:val="20"/>
        </w:rPr>
      </w:pPr>
      <w:r w:rsidRPr="007F5E62">
        <w:rPr>
          <w:rFonts w:ascii="HY신명조" w:eastAsia="HY신명조" w:hAnsi="나눔고딕" w:cs="나눔고딕" w:hint="eastAsia"/>
          <w:sz w:val="20"/>
          <w:szCs w:val="20"/>
        </w:rPr>
        <w:lastRenderedPageBreak/>
        <w:t>국내 증권사의 애널리스트 보고서를 기반으로 분석을 진행했기 때문에 외국계 애널리스트의 영향력은 제외되었다. 국내 상장사의 외국인 지분율이 높기 때문에 외국인 투자자가 상장사의 기업가치 변화에 영향력이 높다. 이 투자자들의 의사결정에 국내 애널리스트들보다는 외국계 증권사 애널리스트와 소통을 한다.</w:t>
      </w:r>
      <w:r w:rsidR="00C73EA7" w:rsidRPr="007F5E62">
        <w:rPr>
          <w:rFonts w:ascii="HY신명조" w:eastAsia="HY신명조" w:hAnsi="나눔고딕" w:cs="나눔고딕" w:hint="eastAsia"/>
          <w:sz w:val="20"/>
          <w:szCs w:val="20"/>
        </w:rPr>
        <w:t xml:space="preserve"> </w:t>
      </w:r>
      <w:r w:rsidRPr="007F5E62">
        <w:rPr>
          <w:rFonts w:ascii="HY신명조" w:eastAsia="HY신명조" w:hAnsi="나눔고딕" w:cs="나눔고딕" w:hint="eastAsia"/>
          <w:sz w:val="20"/>
          <w:szCs w:val="20"/>
        </w:rPr>
        <w:t>따라서 국내 시장에서 외국계 증권사 애널리스트</w:t>
      </w:r>
      <w:r w:rsidR="000C6105" w:rsidRPr="007F5E62">
        <w:rPr>
          <w:rFonts w:ascii="HY신명조" w:eastAsia="HY신명조" w:hAnsi="나눔고딕" w:cs="나눔고딕" w:hint="eastAsia"/>
          <w:sz w:val="20"/>
          <w:szCs w:val="20"/>
        </w:rPr>
        <w:t xml:space="preserve">를 포함하는 </w:t>
      </w:r>
      <w:r w:rsidR="00133250" w:rsidRPr="007F5E62">
        <w:rPr>
          <w:rFonts w:ascii="HY신명조" w:eastAsia="HY신명조" w:hAnsi="나눔고딕" w:cs="나눔고딕" w:hint="eastAsia"/>
          <w:sz w:val="20"/>
          <w:szCs w:val="20"/>
        </w:rPr>
        <w:t xml:space="preserve">후속연구로 확장되기를 </w:t>
      </w:r>
      <w:r w:rsidR="0072104A" w:rsidRPr="007F5E62">
        <w:rPr>
          <w:rFonts w:ascii="HY신명조" w:eastAsia="HY신명조" w:hAnsi="나눔고딕" w:cs="나눔고딕" w:hint="eastAsia"/>
          <w:sz w:val="20"/>
          <w:szCs w:val="20"/>
        </w:rPr>
        <w:t>기대한다.</w:t>
      </w:r>
    </w:p>
    <w:p w14:paraId="43382962" w14:textId="77777777" w:rsidR="00286A95" w:rsidRPr="007F5E62" w:rsidRDefault="00286A95" w:rsidP="00C831C9">
      <w:pPr>
        <w:spacing w:line="420" w:lineRule="auto"/>
        <w:jc w:val="both"/>
        <w:rPr>
          <w:rFonts w:ascii="HY신명조" w:eastAsia="HY신명조" w:hAnsi="나눔고딕" w:cs="나눔고딕"/>
          <w:sz w:val="20"/>
          <w:szCs w:val="20"/>
        </w:rPr>
      </w:pPr>
    </w:p>
    <w:p w14:paraId="5C986167" w14:textId="77777777" w:rsidR="00286A95" w:rsidRPr="007F5E62" w:rsidRDefault="00286A95" w:rsidP="00C831C9">
      <w:pPr>
        <w:spacing w:line="420" w:lineRule="auto"/>
        <w:jc w:val="both"/>
        <w:rPr>
          <w:rFonts w:ascii="HY신명조" w:eastAsia="HY신명조" w:hAnsi="나눔고딕" w:cs="나눔고딕"/>
          <w:sz w:val="20"/>
          <w:szCs w:val="20"/>
        </w:rPr>
      </w:pPr>
    </w:p>
    <w:p w14:paraId="50B42886" w14:textId="578F41B7" w:rsidR="00022372" w:rsidRDefault="00022372" w:rsidP="00C831C9">
      <w:pPr>
        <w:jc w:val="both"/>
        <w:rPr>
          <w:rFonts w:ascii="HY신명조" w:eastAsia="HY신명조" w:hAnsi="나눔고딕" w:cs="나눔고딕"/>
          <w:sz w:val="20"/>
          <w:szCs w:val="20"/>
        </w:rPr>
      </w:pPr>
      <w:r>
        <w:rPr>
          <w:rFonts w:ascii="HY신명조" w:eastAsia="HY신명조" w:hAnsi="나눔고딕" w:cs="나눔고딕"/>
          <w:sz w:val="20"/>
          <w:szCs w:val="20"/>
        </w:rPr>
        <w:br w:type="page"/>
      </w:r>
    </w:p>
    <w:p w14:paraId="2A838DC0" w14:textId="7E947D61" w:rsidR="00286A95" w:rsidRDefault="00AB7484" w:rsidP="00117637">
      <w:pPr>
        <w:widowControl w:val="0"/>
        <w:numPr>
          <w:ilvl w:val="0"/>
          <w:numId w:val="3"/>
        </w:numPr>
        <w:pBdr>
          <w:top w:val="nil"/>
          <w:left w:val="nil"/>
          <w:bottom w:val="nil"/>
          <w:right w:val="nil"/>
          <w:between w:val="nil"/>
        </w:pBdr>
        <w:spacing w:line="420" w:lineRule="auto"/>
        <w:ind w:leftChars="216" w:left="589" w:hanging="114"/>
        <w:jc w:val="both"/>
        <w:rPr>
          <w:rFonts w:ascii="HY견명조" w:eastAsia="HY견명조" w:hAnsi="나눔고딕" w:cs="나눔고딕"/>
          <w:sz w:val="30"/>
          <w:szCs w:val="30"/>
        </w:rPr>
      </w:pPr>
      <w:r w:rsidRPr="007F5E62">
        <w:rPr>
          <w:rFonts w:ascii="HY견명조" w:eastAsia="HY견명조" w:hAnsi="나눔고딕" w:cs="나눔고딕" w:hint="eastAsia"/>
          <w:sz w:val="30"/>
          <w:szCs w:val="30"/>
        </w:rPr>
        <w:lastRenderedPageBreak/>
        <w:t>참고문헌</w:t>
      </w:r>
    </w:p>
    <w:p w14:paraId="381FFB78" w14:textId="2E04778F"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김가람, 양희진, 류두진, “애널리스트 투자의견 변경이 금융시장과 투자자 심리에 미치는 영향”, 경제학연구 68, no. 3, 2020, 45-81.</w:t>
      </w:r>
    </w:p>
    <w:p w14:paraId="3DFF0D0D" w14:textId="54737226"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김경묵, “기업지배구조와 혁신: 소유구조가 연구개발(R&amp;D) 투자에 미치는 영향”, 경영학연구 32, no. 6, 2003, 1799-832.</w:t>
      </w:r>
    </w:p>
    <w:p w14:paraId="7CA4791F" w14:textId="1ED9FB48"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김경순, “애널리스트보고서에 대한 시장반응과 정보력 결정요인”, 회계학연구 37, no. 3, 2012, 111-56.</w:t>
      </w:r>
    </w:p>
    <w:p w14:paraId="4CC78C74" w14:textId="5BB65443"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김광두, 홍운선, “혁신활동이 기업의 경영성과에 미치는 영향”, 기술혁신학회지 14, no. 2, 2011, 373-404.</w:t>
      </w:r>
    </w:p>
    <w:p w14:paraId="7FF055C0" w14:textId="4F860489"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김범조, 이동기, 조영곤, “소유구조와 연구개발투자: 한국 벤처기업을 대상으로”, 전략경영연구 20, no. 3, 2017, 15-33.</w:t>
      </w:r>
    </w:p>
    <w:p w14:paraId="4216A202" w14:textId="48394EF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남현정, 박춘광, “시장충격을 고려한 재무적 제약 기업의 현금보유와 연구개발 지속성”, 金融工學硏究 14, no. 2, 2015, 133-55.</w:t>
      </w:r>
    </w:p>
    <w:p w14:paraId="7951F8EB" w14:textId="7DD1EE8A"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류두진, 김가람, 양희진, “신용등급 변경공시가 투자자 심리에 미치는 영향”, 선물연구 27, no. 1, 2019, 85-111.</w:t>
      </w:r>
    </w:p>
    <w:p w14:paraId="58C7598A" w14:textId="4BE5295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박경서, 이은정, “외국인투자자가 한국기업의 경영 및 지배구조에 미치는 영향”, 금융연구 20, no. 2, 2006, 73-113.</w:t>
      </w:r>
    </w:p>
    <w:p w14:paraId="72C2DADF" w14:textId="0BD3185A"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박원, 허익구, “재무적 건전성에 따른 연구개발 지출의 가치관련성”, 국제회계연구 40, 2011, 93-112.</w:t>
      </w:r>
    </w:p>
    <w:p w14:paraId="385391C0" w14:textId="62F59195"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박준우, “유가증권상장기업과 코스닥상장기업의 연구개발투자의 결정요인에 관한 연구”, 산업경제연구 22, no. 6, 2009, 3035-52.</w:t>
      </w:r>
    </w:p>
    <w:p w14:paraId="41860E87" w14:textId="60111D8A"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서지용, “중소기업의 연구개발 투자 결정요인은 무엇인가?". 산업경제연구 25, no. 2, 2012, 1097-109.</w:t>
      </w:r>
    </w:p>
    <w:p w14:paraId="4EE82A95" w14:textId="23964E61"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심재우, 서용장, “기업공개의 재무적 제약이 연구개발투자에 미치는 영향”, 글로벌경영학회학술대회 발표논문집 2018, 2018, 369-83.</w:t>
      </w:r>
    </w:p>
    <w:p w14:paraId="3BB6724B" w14:textId="1E932E59"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lastRenderedPageBreak/>
        <w:t>오준병, 이선영, “경기변동 및 기업의 현금흐름이 지식재산 활동에 미치는 영향: 국내 바이오제약 산업을 중심으로”, 한국경제포럼 12, no. 4, 2020, 97-123.</w:t>
      </w:r>
    </w:p>
    <w:p w14:paraId="614B6AC1" w14:textId="4D511BCF"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유민화, 박중구, “정부의 연구개발 지원과 기업의 연구개발투자 행태 분석: 보완ㆍ대체효과의 결정요인 분석”, 산업경제연구 19, no. 6, 2006, 2445-68.</w:t>
      </w:r>
    </w:p>
    <w:p w14:paraId="57DCE1BB" w14:textId="071EA00C"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이정길, “기술혁신 활동이 기업가치에 미치는 영향: R&amp;D 투자에 대한 기업 및 산업특성의 영향을 중심으로”, Journal of The Korean Data Analysis Society 21, no. 5, 2019, 2497-509.</w:t>
      </w:r>
    </w:p>
    <w:p w14:paraId="4FCC949B" w14:textId="2C0EA88B"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이지홍, 임현경, 김상동, 송근상, 정재유, “한국 특허 데이터 프로젝트: 내용과 방법”, 한국경제포럼 12, no. 4, 2020, 125-81.</w:t>
      </w:r>
    </w:p>
    <w:p w14:paraId="766DD7B2" w14:textId="32F3E99F"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임병권, 박재환, “신규분석 기업에 대한 애널리스트의 정보적 가치에 관한 연구”, 金融工學硏究 16, no. 1, 2017, 49-74.</w:t>
      </w:r>
    </w:p>
    <w:p w14:paraId="6EF8BC40" w14:textId="5161758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정석우, 한형성, 임태균, “재무분석가의 베스트 선정 및 산업전문성과 예측특성”, 한국증권학회지 40, no. 5, 2011, 749-74.</w:t>
      </w:r>
    </w:p>
    <w:p w14:paraId="575AD55D" w14:textId="68FB5D3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정진수, 박재영, “Kosdaq 등록기업의 연구개발비가 기업가치에 미치는 영향”, 산업경제연구 17, no. 4, 2004, 1273-89.</w:t>
      </w:r>
    </w:p>
    <w:p w14:paraId="52B84333" w14:textId="1BE6F8D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조삼용, 신선우, 이훈현, “레버리지가 기업투자결정에 미치는 영향: System-Gmm을 이용한 상장제조기업 패널 분석”, 재정연구, 2004.</w:t>
      </w:r>
    </w:p>
    <w:p w14:paraId="777DD0A2" w14:textId="4C918F92"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최향미, 조영곤, “연구개발 과소투자 문제에서 외국인지분의 조절효과”, 무역학회지 36, no. 5, 2011, 303-19.</w:t>
      </w:r>
    </w:p>
    <w:p w14:paraId="135494B8" w14:textId="62DD1293"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Aghion, Philippe, John Van Reenen, Luigi Zingales, “Innovation Institutional Ownership”, American economic review 103, no. 1, 2013, 277-304.</w:t>
      </w:r>
    </w:p>
    <w:p w14:paraId="2EDA1A0E" w14:textId="6A693FA6"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 xml:space="preserve">Barth, Mary E, Ron Kasznik, Maureen F McNichols, “Analyst Coverage Intangible Assets”, Journal of accounting research 39, no. 1, 2001, </w:t>
      </w:r>
      <w:r w:rsidRPr="002355F2">
        <w:rPr>
          <w:rFonts w:ascii="HY신명조" w:eastAsia="HY신명조" w:hAnsi="Calibri" w:cs="Calibri" w:hint="eastAsia"/>
          <w:sz w:val="20"/>
          <w:szCs w:val="20"/>
          <w:lang w:val="en-US"/>
        </w:rPr>
        <w:lastRenderedPageBreak/>
        <w:t>1-34.</w:t>
      </w:r>
    </w:p>
    <w:p w14:paraId="0026624F" w14:textId="53267F00"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Bradshaw, Mark T, Scott A Richardson, Richard G Sloan, “The Relation between Corporate Financing Activities, Analysts’ Forecasts Stock Returns”, Journal of accounting economics 42, no. 1-2, 2006, 53-85.</w:t>
      </w:r>
    </w:p>
    <w:p w14:paraId="5B960E4B" w14:textId="4D807079"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Brown, James R, Bruce C Petersen, “Cash Holdings R&amp;D Smoothing”, Journal of Corporate Finance 17, no. 3, 2011, 694-709.</w:t>
      </w:r>
    </w:p>
    <w:p w14:paraId="2DAE7385" w14:textId="78B0A335"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Chang, Xin, Sudipto Dasgupta, Gilles Hilary, “Analyst Coverage Financing Decisions”, The Journal of Finance 61, no. 6, 2006, 3009-48.</w:t>
      </w:r>
    </w:p>
    <w:p w14:paraId="47EFB5B2" w14:textId="495104EE"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Ellul, Andrew, Marios Panayides, “Do Financial Analysts Restrain Insiders’ Informational Advantage?". Journal of Financial Quantitative Analysis 53, no. 1, 2018, 203-41.</w:t>
      </w:r>
    </w:p>
    <w:p w14:paraId="521A54EA" w14:textId="0B7BD82D"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Fang, Vivian W, Xuan Tian, Sheri Tice, “Does Stock Liquidity Enhance or Impede Firm Innovation?". The Journal of finance 69, no. 5, 2014, 2085-125.</w:t>
      </w:r>
    </w:p>
    <w:p w14:paraId="57387A62" w14:textId="650FFF02" w:rsidR="004211B7"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Franzen, Laurel, Suresh Radhakrishnan, “The Value-Relevance of Earnings Book Value across Profit Loss Firms: The Case of R&amp;D Spending”, Available at SSRN 898245 , 2006.</w:t>
      </w:r>
    </w:p>
    <w:p w14:paraId="4E22DD0B" w14:textId="77777777" w:rsidR="00D06A9A" w:rsidRPr="007A6E6B" w:rsidRDefault="00D06A9A" w:rsidP="00D06A9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7A6E6B">
        <w:rPr>
          <w:rFonts w:ascii="HY신명조" w:eastAsia="HY신명조" w:hAnsi="Calibri" w:cs="Calibri"/>
          <w:sz w:val="20"/>
          <w:szCs w:val="20"/>
          <w:lang w:val="en-US"/>
        </w:rPr>
        <w:t>Graham, John R, Campbell R Harvey, and Shiva Rajgopal. "The Economic Implications of Corporate Financial Reporting." Journal of accounting and economics 40, no. 1-3</w:t>
      </w:r>
      <w:r>
        <w:rPr>
          <w:rFonts w:ascii="HY신명조" w:eastAsia="HY신명조" w:hAnsi="Calibri" w:cs="Calibri" w:hint="eastAsia"/>
          <w:sz w:val="20"/>
          <w:szCs w:val="20"/>
          <w:lang w:val="en-US"/>
        </w:rPr>
        <w:t xml:space="preserve">, </w:t>
      </w:r>
      <w:r w:rsidRPr="007A6E6B">
        <w:rPr>
          <w:rFonts w:ascii="HY신명조" w:eastAsia="HY신명조" w:hAnsi="Calibri" w:cs="Calibri"/>
          <w:sz w:val="20"/>
          <w:szCs w:val="20"/>
          <w:lang w:val="en-US"/>
        </w:rPr>
        <w:t>2005</w:t>
      </w:r>
      <w:r>
        <w:rPr>
          <w:rFonts w:ascii="HY신명조" w:eastAsia="HY신명조" w:hAnsi="Calibri" w:cs="Calibri" w:hint="eastAsia"/>
          <w:sz w:val="20"/>
          <w:szCs w:val="20"/>
          <w:lang w:val="en-US"/>
        </w:rPr>
        <w:t>,</w:t>
      </w:r>
      <w:r w:rsidRPr="007A6E6B">
        <w:rPr>
          <w:rFonts w:ascii="HY신명조" w:eastAsia="HY신명조" w:hAnsi="Calibri" w:cs="Calibri"/>
          <w:sz w:val="20"/>
          <w:szCs w:val="20"/>
          <w:lang w:val="en-US"/>
        </w:rPr>
        <w:t xml:space="preserve"> 3-73.</w:t>
      </w:r>
    </w:p>
    <w:p w14:paraId="2CBBF897" w14:textId="77777777"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Griliches, Zvi. 13. Patent Statistics as Economic Indicators: A Survey. University of Chicago Press, 2007.</w:t>
      </w:r>
    </w:p>
    <w:p w14:paraId="423C7D6A" w14:textId="51CD801C"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Griliches, Zvi, Ariel Pakes, Bronwyn H Hall. The Value of Patents as Indicators of Inventive Activity. National Bureau of Economic Research, 1986.</w:t>
      </w:r>
    </w:p>
    <w:p w14:paraId="25A42D11" w14:textId="6D444601"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 xml:space="preserve">Hadlock, Charles J, Joshua R Pierce, “New Evidence on Measuring </w:t>
      </w:r>
      <w:r w:rsidRPr="002355F2">
        <w:rPr>
          <w:rFonts w:ascii="HY신명조" w:eastAsia="HY신명조" w:hAnsi="Calibri" w:cs="Calibri" w:hint="eastAsia"/>
          <w:sz w:val="20"/>
          <w:szCs w:val="20"/>
          <w:lang w:val="en-US"/>
        </w:rPr>
        <w:lastRenderedPageBreak/>
        <w:t>Financial Constraints: Moving Beyond the Kz Index”, The Review of Financial Studies 23, no. 5, 2010, 1909-40.</w:t>
      </w:r>
    </w:p>
    <w:p w14:paraId="2661ABAF" w14:textId="4DF33A90"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He, Jie Jack, Xuan Tian, “The Dark Side of Analyst Coverage: The Case of Innovation”, Journal of Financial Economics 109, no. 3, 2013, 856-78.</w:t>
      </w:r>
    </w:p>
    <w:p w14:paraId="0C042F7F" w14:textId="21708A49"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Hennessy, Christopher A, “Tobin's Q, Debt Overhang, Investment”, The Journal of Finance 59, no. 4, 2004, 1717-42.</w:t>
      </w:r>
    </w:p>
    <w:p w14:paraId="179EC33A" w14:textId="46B1A5D6"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Himmelberg, Charles P, Bruce C Petersen, “R &amp; D Internal Finance: A Panel Study of Small Firms in High-Tech Industries”, The review of economics statistics , 1994, 38-51.</w:t>
      </w:r>
    </w:p>
    <w:p w14:paraId="40B4425D" w14:textId="69FB0248"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Ho, Yew Kee, Mira Tjahjapranata, Chee Meng Yap, “Size, Leverage, Concentration, R&amp;D Investment in Generating Growth Opportunities”, The Journal of Business 79, no. 2, 2006, 851-76.</w:t>
      </w:r>
    </w:p>
    <w:p w14:paraId="0FC94DD9" w14:textId="5D91F3CB"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Hoskisson, Robert E, Michael A Hitt, Richard A Johnson, Wayne Grossman, “Conflicting Voices: The Effects of Institutional Ownership Heterogeneity Internal Governance on Corporate Innovation Strategies”, Academy of Management journal 45, no. 4, 2002, 697-716.</w:t>
      </w:r>
    </w:p>
    <w:p w14:paraId="38BC47C9" w14:textId="2C993136"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Huang, Emily J, “The Role of Institutional Investors Individual Investors in Financial Markets: Evidence from Closed-End Funds”, Review of Financial Economics 26</w:t>
      </w:r>
      <w:r w:rsidR="00695A10">
        <w:rPr>
          <w:rFonts w:ascii="HY신명조" w:eastAsia="HY신명조" w:hAnsi="Calibri" w:cs="Calibri" w:hint="eastAsia"/>
          <w:sz w:val="20"/>
          <w:szCs w:val="20"/>
          <w:lang w:val="en-US"/>
        </w:rPr>
        <w:t xml:space="preserve">  </w:t>
      </w:r>
      <w:r w:rsidRPr="002355F2">
        <w:rPr>
          <w:rFonts w:ascii="HY신명조" w:eastAsia="HY신명조" w:hAnsi="Calibri" w:cs="Calibri" w:hint="eastAsia"/>
          <w:sz w:val="20"/>
          <w:szCs w:val="20"/>
          <w:lang w:val="en-US"/>
        </w:rPr>
        <w:t>, 2015, 1-11.</w:t>
      </w:r>
    </w:p>
    <w:p w14:paraId="2A1ACE93" w14:textId="073931DA"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Irvine, Paul J, “The Incremental Impact of Analyst Initiation of Coverage”, Journal of Corporate Finance 9, no. 4, 2003, 431-51.</w:t>
      </w:r>
    </w:p>
    <w:p w14:paraId="6173AE19" w14:textId="2B1A521D"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Jegadeesh, Narasimhan, Woojin Kim, “Value of Analyst Recommendations: International Evidence”, Journal of Financial Markets 9, no. 3, 2006, 274-309.</w:t>
      </w:r>
    </w:p>
    <w:p w14:paraId="27ABBBE5" w14:textId="09797B74"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lastRenderedPageBreak/>
        <w:t>Martinsson, Gustav, Hans L</w:t>
      </w:r>
      <w:r w:rsidRPr="002355F2">
        <w:rPr>
          <w:rFonts w:ascii="HY신명조" w:eastAsia="HY신명조" w:hAnsi="Calibri" w:cs="Calibri" w:hint="eastAsia"/>
          <w:sz w:val="20"/>
          <w:szCs w:val="20"/>
          <w:lang w:val="en-US"/>
        </w:rPr>
        <w:t>öö</w:t>
      </w:r>
      <w:r w:rsidRPr="002355F2">
        <w:rPr>
          <w:rFonts w:ascii="HY신명조" w:eastAsia="HY신명조" w:hAnsi="Calibri" w:cs="Calibri" w:hint="eastAsia"/>
          <w:sz w:val="20"/>
          <w:szCs w:val="20"/>
          <w:lang w:val="en-US"/>
        </w:rPr>
        <w:t>f, “Impact of Economic Crises on Innovation Activity: Firm Level Evidence from Patent Data”, Centre of Excellence for Science Innovation Studies: Stockholm, Sweden , 2009.</w:t>
      </w:r>
    </w:p>
    <w:p w14:paraId="02540714" w14:textId="05C4E4BE"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Moyen, Nathalie, “How Big Is the Debt Overhang Problem?". Journal of Economic Dynamics Control 31, no. 2, 2007, 433-72.</w:t>
      </w:r>
    </w:p>
    <w:p w14:paraId="6CA0374C" w14:textId="1820024D"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Peyer, Urs C, Anil Shivdasani, “Leverage Internal Capital Markets: Evidence from Leveraged Recapitalizations”, Journal of Financial Economics 59, no. 3, 2001, 477-515.</w:t>
      </w:r>
    </w:p>
    <w:p w14:paraId="59763ED2" w14:textId="1D987CD0"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Pohlmann, Tim, Peter Neuh</w:t>
      </w:r>
      <w:r w:rsidRPr="002355F2">
        <w:rPr>
          <w:rFonts w:ascii="HY신명조" w:eastAsia="HY신명조" w:hAnsi="Calibri" w:cs="Calibri" w:hint="eastAsia"/>
          <w:sz w:val="20"/>
          <w:szCs w:val="20"/>
          <w:lang w:val="en-US"/>
        </w:rPr>
        <w:t>ä</w:t>
      </w:r>
      <w:r w:rsidRPr="002355F2">
        <w:rPr>
          <w:rFonts w:ascii="HY신명조" w:eastAsia="HY신명조" w:hAnsi="Calibri" w:cs="Calibri" w:hint="eastAsia"/>
          <w:sz w:val="20"/>
          <w:szCs w:val="20"/>
          <w:lang w:val="en-US"/>
        </w:rPr>
        <w:t>usler, Knut Blind, “Standard Essential Patents to Boost Financial Returns”, R&amp;D Management 46, no. S2, 2016, 612-30.</w:t>
      </w:r>
    </w:p>
    <w:p w14:paraId="2854D189" w14:textId="6BE69F48"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Sun, Bruno, Liliam Sanchez Carrete, Rosana Tavares, “Impact of Sell-Side Reccomendation Reports on Stock Returns”, Revista Evidencia</w:t>
      </w:r>
      <w:r w:rsidRPr="002355F2">
        <w:rPr>
          <w:rFonts w:ascii="HY신명조" w:eastAsia="HY신명조" w:hAnsi="Calibri" w:cs="Calibri" w:hint="eastAsia"/>
          <w:sz w:val="20"/>
          <w:szCs w:val="20"/>
          <w:lang w:val="en-US"/>
        </w:rPr>
        <w:t>çã</w:t>
      </w:r>
      <w:r w:rsidRPr="002355F2">
        <w:rPr>
          <w:rFonts w:ascii="HY신명조" w:eastAsia="HY신명조" w:hAnsi="Calibri" w:cs="Calibri" w:hint="eastAsia"/>
          <w:sz w:val="20"/>
          <w:szCs w:val="20"/>
          <w:lang w:val="en-US"/>
        </w:rPr>
        <w:t>o Cont</w:t>
      </w:r>
      <w:r w:rsidRPr="002355F2">
        <w:rPr>
          <w:rFonts w:ascii="HY신명조" w:eastAsia="HY신명조" w:hAnsi="Calibri" w:cs="Calibri" w:hint="eastAsia"/>
          <w:sz w:val="20"/>
          <w:szCs w:val="20"/>
          <w:lang w:val="en-US"/>
        </w:rPr>
        <w:t>á</w:t>
      </w:r>
      <w:r w:rsidRPr="002355F2">
        <w:rPr>
          <w:rFonts w:ascii="HY신명조" w:eastAsia="HY신명조" w:hAnsi="Calibri" w:cs="Calibri" w:hint="eastAsia"/>
          <w:sz w:val="20"/>
          <w:szCs w:val="20"/>
          <w:lang w:val="en-US"/>
        </w:rPr>
        <w:t>bil &amp; Finan</w:t>
      </w:r>
      <w:r w:rsidRPr="002355F2">
        <w:rPr>
          <w:rFonts w:ascii="HY신명조" w:eastAsia="HY신명조" w:hAnsi="Calibri" w:cs="Calibri" w:hint="eastAsia"/>
          <w:sz w:val="20"/>
          <w:szCs w:val="20"/>
          <w:lang w:val="en-US"/>
        </w:rPr>
        <w:t>ç</w:t>
      </w:r>
      <w:r w:rsidRPr="002355F2">
        <w:rPr>
          <w:rFonts w:ascii="HY신명조" w:eastAsia="HY신명조" w:hAnsi="Calibri" w:cs="Calibri" w:hint="eastAsia"/>
          <w:sz w:val="20"/>
          <w:szCs w:val="20"/>
          <w:lang w:val="en-US"/>
        </w:rPr>
        <w:t>as 5, no. 3, 2017.</w:t>
      </w:r>
    </w:p>
    <w:p w14:paraId="58F7470A" w14:textId="53351B18"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Wright, Peter, Mark Kroll, Jeffrey A Krug, Michael Pettus, “Influences of Top Management Team Incentives on Firm Risk Taking”, Strategic Management Journal 28, no. 1, 2007, 81-89.</w:t>
      </w:r>
    </w:p>
    <w:p w14:paraId="216D3568" w14:textId="11D0C3CB" w:rsidR="004211B7" w:rsidRPr="002355F2" w:rsidRDefault="004211B7" w:rsidP="000F51DA">
      <w:pPr>
        <w:widowControl w:val="0"/>
        <w:autoSpaceDE w:val="0"/>
        <w:autoSpaceDN w:val="0"/>
        <w:adjustRightInd w:val="0"/>
        <w:spacing w:line="420" w:lineRule="auto"/>
        <w:ind w:left="426" w:hanging="426"/>
        <w:rPr>
          <w:rFonts w:ascii="HY신명조" w:eastAsia="HY신명조" w:hAnsi="Calibri" w:cs="Calibri"/>
          <w:sz w:val="20"/>
          <w:szCs w:val="20"/>
          <w:lang w:val="en-US"/>
        </w:rPr>
      </w:pPr>
      <w:r w:rsidRPr="002355F2">
        <w:rPr>
          <w:rFonts w:ascii="HY신명조" w:eastAsia="HY신명조" w:hAnsi="Calibri" w:cs="Calibri" w:hint="eastAsia"/>
          <w:sz w:val="20"/>
          <w:szCs w:val="20"/>
          <w:lang w:val="en-US"/>
        </w:rPr>
        <w:t>Yu, Fang Frank, “Analyst Coverage Earnings Management”, Journal of financial economics 88, no. 2, 2008, 245-71.</w:t>
      </w:r>
    </w:p>
    <w:p w14:paraId="79E5A4A9" w14:textId="277058AA" w:rsidR="004211B7" w:rsidRDefault="004211B7" w:rsidP="000F51DA">
      <w:pPr>
        <w:spacing w:line="420" w:lineRule="auto"/>
        <w:jc w:val="both"/>
        <w:rPr>
          <w:rFonts w:ascii="HY신명조" w:eastAsia="HY신명조" w:hAnsi="나눔고딕" w:cs="나눔고딕"/>
          <w:sz w:val="20"/>
          <w:szCs w:val="20"/>
          <w:lang w:val="en-US"/>
        </w:rPr>
      </w:pPr>
    </w:p>
    <w:sectPr w:rsidR="004211B7" w:rsidSect="004434ED">
      <w:headerReference w:type="even" r:id="rId10"/>
      <w:headerReference w:type="default" r:id="rId11"/>
      <w:footerReference w:type="even" r:id="rId12"/>
      <w:footerReference w:type="default" r:id="rId13"/>
      <w:headerReference w:type="first" r:id="rId14"/>
      <w:footerReference w:type="first" r:id="rId15"/>
      <w:pgSz w:w="11909" w:h="16834" w:code="9"/>
      <w:pgMar w:top="2835" w:right="2268" w:bottom="2325" w:left="2268" w:header="851"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79BB14" w14:textId="77777777" w:rsidR="00B91AE2" w:rsidRDefault="00B91AE2">
      <w:pPr>
        <w:spacing w:line="240" w:lineRule="auto"/>
      </w:pPr>
      <w:r>
        <w:separator/>
      </w:r>
    </w:p>
  </w:endnote>
  <w:endnote w:type="continuationSeparator" w:id="0">
    <w:p w14:paraId="19781ED5" w14:textId="77777777" w:rsidR="00B91AE2" w:rsidRDefault="00B91A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HY견명조">
    <w:panose1 w:val="02030600000101010101"/>
    <w:charset w:val="81"/>
    <w:family w:val="roman"/>
    <w:pitch w:val="variable"/>
    <w:sig w:usb0="900002A7" w:usb1="29D77CF9" w:usb2="00000010" w:usb3="00000000" w:csb0="00080000" w:csb1="00000000"/>
  </w:font>
  <w:font w:name="나눔고딕">
    <w:panose1 w:val="020D0604000000000000"/>
    <w:charset w:val="81"/>
    <w:family w:val="modern"/>
    <w:pitch w:val="variable"/>
    <w:sig w:usb0="900002A7" w:usb1="29D7FCFB" w:usb2="00000010" w:usb3="00000000" w:csb0="00080001" w:csb1="00000000"/>
  </w:font>
  <w:font w:name="HY신명조">
    <w:panose1 w:val="02030600000101010101"/>
    <w:charset w:val="81"/>
    <w:family w:val="roman"/>
    <w:pitch w:val="variable"/>
    <w:sig w:usb0="900002A7" w:usb1="29D77CF9"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Arial Unicode MS">
    <w:panose1 w:val="020B0604020202020204"/>
    <w:charset w:val="81"/>
    <w:family w:val="modern"/>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DD37D" w14:textId="77777777" w:rsidR="00C416F0" w:rsidRDefault="00C416F0">
    <w:pPr>
      <w:pStyle w:val="af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8000C" w14:textId="77777777" w:rsidR="00C416F0" w:rsidRDefault="00C416F0">
    <w:pPr>
      <w:pStyle w:val="af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34261" w14:textId="77777777" w:rsidR="00C416F0" w:rsidRDefault="00C416F0">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15BAB" w14:textId="77777777" w:rsidR="00B91AE2" w:rsidRDefault="00B91AE2">
      <w:pPr>
        <w:spacing w:line="240" w:lineRule="auto"/>
      </w:pPr>
      <w:r>
        <w:separator/>
      </w:r>
    </w:p>
  </w:footnote>
  <w:footnote w:type="continuationSeparator" w:id="0">
    <w:p w14:paraId="399D912E" w14:textId="77777777" w:rsidR="00B91AE2" w:rsidRDefault="00B91AE2">
      <w:pPr>
        <w:spacing w:line="240" w:lineRule="auto"/>
      </w:pPr>
      <w:r>
        <w:continuationSeparator/>
      </w:r>
    </w:p>
  </w:footnote>
  <w:footnote w:id="1">
    <w:p w14:paraId="5E389829" w14:textId="65F8D883" w:rsidR="00BF2C50" w:rsidRPr="007F5E62" w:rsidRDefault="00BF2C50">
      <w:pPr>
        <w:pStyle w:val="af"/>
        <w:rPr>
          <w:rFonts w:ascii="HY신명조" w:eastAsia="HY신명조" w:hAnsi="나눔고딕"/>
          <w:sz w:val="16"/>
          <w:szCs w:val="16"/>
        </w:rPr>
      </w:pPr>
      <w:r w:rsidRPr="007F5E62">
        <w:rPr>
          <w:rStyle w:val="af0"/>
          <w:rFonts w:ascii="HY신명조" w:eastAsia="HY신명조" w:hAnsi="나눔고딕" w:hint="eastAsia"/>
          <w:sz w:val="16"/>
          <w:szCs w:val="16"/>
        </w:rPr>
        <w:footnoteRef/>
      </w:r>
      <w:r w:rsidRPr="007F5E62">
        <w:rPr>
          <w:rFonts w:ascii="HY신명조" w:eastAsia="HY신명조" w:hAnsi="나눔고딕" w:hint="eastAsia"/>
          <w:sz w:val="16"/>
          <w:szCs w:val="16"/>
        </w:rPr>
        <w:t xml:space="preserve"> 출처: WFE. 2020년 12월 자료 기준</w:t>
      </w:r>
    </w:p>
  </w:footnote>
  <w:footnote w:id="2">
    <w:p w14:paraId="694CDE92" w14:textId="43D46191" w:rsidR="00E017DF" w:rsidRPr="00951212" w:rsidRDefault="00E017DF" w:rsidP="003E4D42">
      <w:pPr>
        <w:pStyle w:val="af"/>
        <w:jc w:val="both"/>
        <w:rPr>
          <w:rFonts w:ascii="나눔고딕" w:eastAsia="나눔고딕" w:hAnsi="나눔고딕"/>
          <w:sz w:val="16"/>
          <w:szCs w:val="16"/>
        </w:rPr>
      </w:pPr>
      <w:r w:rsidRPr="007F5E62">
        <w:rPr>
          <w:rStyle w:val="af0"/>
          <w:rFonts w:ascii="HY신명조" w:eastAsia="HY신명조" w:hAnsi="나눔고딕" w:hint="eastAsia"/>
          <w:sz w:val="16"/>
          <w:szCs w:val="16"/>
        </w:rPr>
        <w:footnoteRef/>
      </w:r>
      <w:r w:rsidRPr="007F5E62">
        <w:rPr>
          <w:rFonts w:ascii="HY신명조" w:eastAsia="HY신명조" w:hAnsi="나눔고딕" w:hint="eastAsia"/>
          <w:sz w:val="16"/>
          <w:szCs w:val="16"/>
        </w:rPr>
        <w:t xml:space="preserve"> Sell side 애널리스트</w:t>
      </w:r>
      <w:r w:rsidR="00951212" w:rsidRPr="007F5E62">
        <w:rPr>
          <w:rFonts w:ascii="HY신명조" w:eastAsia="HY신명조" w:hAnsi="나눔고딕" w:hint="eastAsia"/>
          <w:sz w:val="16"/>
          <w:szCs w:val="16"/>
        </w:rPr>
        <w:t>는 증권사에서 산업, 기업 관련 정보를 매수, 중립, 매도 등의 투자의견과 목표주가가 포함된 보고서 형태로 공표하고 펀드매니저,</w:t>
      </w:r>
      <w:r w:rsidR="00821A6D" w:rsidRPr="007F5E62">
        <w:rPr>
          <w:rFonts w:ascii="HY신명조" w:eastAsia="HY신명조" w:hAnsi="나눔고딕" w:hint="eastAsia"/>
          <w:sz w:val="16"/>
          <w:szCs w:val="16"/>
        </w:rPr>
        <w:t xml:space="preserve"> 외국인,</w:t>
      </w:r>
      <w:r w:rsidR="00951212" w:rsidRPr="007F5E62">
        <w:rPr>
          <w:rFonts w:ascii="HY신명조" w:eastAsia="HY신명조" w:hAnsi="나눔고딕" w:hint="eastAsia"/>
          <w:sz w:val="16"/>
          <w:szCs w:val="16"/>
        </w:rPr>
        <w:t xml:space="preserve"> 일반투자자 등이 투자 의사결정을 할 때 도움을 주며 강한 법률의 규제를 받음. 반면 Buy side 애널리스트는 자산운용사, 헤지펀드 등에 소속되어 내부 의사결정에 도움을 주는 역할을 하며 </w:t>
      </w:r>
      <w:r w:rsidR="00115FBF" w:rsidRPr="007F5E62">
        <w:rPr>
          <w:rFonts w:ascii="HY신명조" w:eastAsia="HY신명조" w:hAnsi="나눔고딕" w:hint="eastAsia"/>
          <w:sz w:val="16"/>
          <w:szCs w:val="16"/>
        </w:rPr>
        <w:t xml:space="preserve">보고서를 작성하더라도 </w:t>
      </w:r>
      <w:r w:rsidR="003B2125">
        <w:rPr>
          <w:rFonts w:ascii="HY신명조" w:eastAsia="HY신명조" w:hAnsi="나눔고딕" w:hint="eastAsia"/>
          <w:sz w:val="16"/>
          <w:szCs w:val="16"/>
        </w:rPr>
        <w:t>외부 공표는 없음</w:t>
      </w:r>
    </w:p>
  </w:footnote>
  <w:footnote w:id="3">
    <w:p w14:paraId="475327B6" w14:textId="77777777" w:rsidR="00286A95" w:rsidRPr="007F5E62" w:rsidRDefault="00AB7484" w:rsidP="00AF3939">
      <w:pPr>
        <w:spacing w:line="240" w:lineRule="auto"/>
        <w:jc w:val="both"/>
        <w:rPr>
          <w:rFonts w:ascii="HY신명조" w:eastAsia="HY신명조" w:hAnsi="나눔고딕" w:cs="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cs="나눔고딕" w:hint="eastAsia"/>
          <w:sz w:val="16"/>
          <w:szCs w:val="16"/>
        </w:rPr>
        <w:t xml:space="preserve"> </w:t>
      </w:r>
      <w:r w:rsidRPr="007F5E62">
        <w:rPr>
          <w:rFonts w:ascii="HY신명조" w:eastAsia="HY신명조" w:hAnsi="나눔고딕" w:cs="나눔고딕" w:hint="eastAsia"/>
          <w:color w:val="222222"/>
          <w:sz w:val="16"/>
          <w:szCs w:val="16"/>
          <w:highlight w:val="white"/>
        </w:rPr>
        <w:t>이지홍, 임현경, 김상동, 송근상, 정재유 (2020)에 따르면 특허 데이터 단절과 관련된 이슈는 출원-등록-공개 사이의 시차로부터 비롯된다</w:t>
      </w:r>
    </w:p>
  </w:footnote>
  <w:footnote w:id="4">
    <w:p w14:paraId="5C2758AB" w14:textId="77777777" w:rsidR="00286A95" w:rsidRPr="007F5E62" w:rsidRDefault="00AB7484" w:rsidP="00AF3939">
      <w:pPr>
        <w:spacing w:line="240" w:lineRule="auto"/>
        <w:jc w:val="both"/>
        <w:rPr>
          <w:rFonts w:ascii="HY신명조" w:eastAsia="HY신명조" w:hAnsi="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hint="eastAsia"/>
          <w:sz w:val="16"/>
          <w:szCs w:val="16"/>
        </w:rPr>
        <w:t xml:space="preserve"> </w:t>
      </w:r>
      <w:r w:rsidRPr="007F5E62">
        <w:rPr>
          <w:rFonts w:ascii="HY신명조" w:eastAsia="HY신명조" w:hAnsi="나눔고딕" w:cs="나눔고딕" w:hint="eastAsia"/>
          <w:sz w:val="16"/>
          <w:szCs w:val="16"/>
        </w:rPr>
        <w:t>금융투자회사의 영업 및 업무에 관한 규정 제2-28조(조사분석의 독립성 확보)의 3절에 따르면 금융투자회사 및 금융투자분석사는 조사분석자료를 공표하기 전에 내부기준에 따른 승인 절차를 거치지 아니하고 제3자에게 조사분석자료 또는 그 주 된 내용을 제공하여서는 아니된다</w:t>
      </w:r>
    </w:p>
  </w:footnote>
  <w:footnote w:id="5">
    <w:p w14:paraId="3D25FA3B" w14:textId="77777777" w:rsidR="00286A95" w:rsidRPr="007F5E62" w:rsidRDefault="00AB7484" w:rsidP="007B7C39">
      <w:pPr>
        <w:spacing w:line="240" w:lineRule="auto"/>
        <w:jc w:val="both"/>
        <w:rPr>
          <w:rFonts w:ascii="HY신명조" w:eastAsia="HY신명조" w:hAnsi="나눔고딕" w:cs="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cs="나눔고딕" w:hint="eastAsia"/>
          <w:sz w:val="16"/>
          <w:szCs w:val="16"/>
        </w:rPr>
        <w:t xml:space="preserve"> 강건성을 확인하기 위해 He,Tian(2013)처럼 애널리스트의 커버리지와 특허의 지연 연도를 1,2,3,5년으로 검증한 결과 모두  두 변수 사이에는 1% 수준으로 유의미한 양의 관계가 나타남</w:t>
      </w:r>
    </w:p>
  </w:footnote>
  <w:footnote w:id="6">
    <w:p w14:paraId="74FD6F7D" w14:textId="19B4B131" w:rsidR="00286A95" w:rsidRPr="00EF2EEC" w:rsidRDefault="00AB7484" w:rsidP="00EF2EEC">
      <w:pPr>
        <w:spacing w:line="240" w:lineRule="auto"/>
        <w:jc w:val="both"/>
        <w:rPr>
          <w:rFonts w:ascii="HY신명조" w:eastAsia="HY신명조" w:hAnsi="나눔고딕" w:cs="나눔고딕"/>
          <w:sz w:val="16"/>
          <w:szCs w:val="16"/>
        </w:rPr>
      </w:pPr>
      <w:r w:rsidRPr="00EF2EEC">
        <w:rPr>
          <w:rFonts w:ascii="HY신명조" w:eastAsia="HY신명조" w:hAnsi="나눔고딕" w:hint="eastAsia"/>
          <w:sz w:val="16"/>
          <w:szCs w:val="16"/>
          <w:vertAlign w:val="superscript"/>
        </w:rPr>
        <w:footnoteRef/>
      </w:r>
      <w:r w:rsidRPr="00EF2EEC">
        <w:rPr>
          <w:rFonts w:ascii="HY신명조" w:eastAsia="HY신명조" w:hAnsi="나눔고딕" w:cs="나눔고딕" w:hint="eastAsia"/>
          <w:sz w:val="16"/>
          <w:szCs w:val="16"/>
        </w:rPr>
        <w:t>2007년 공정거래위원회는 상호출자제한 대규모기업집단</w:t>
      </w:r>
      <w:r w:rsidR="00E35ED0" w:rsidRPr="00EF2EEC">
        <w:rPr>
          <w:rFonts w:ascii="HY신명조" w:eastAsia="HY신명조" w:hAnsi="나눔고딕" w:cs="나눔고딕" w:hint="eastAsia"/>
          <w:sz w:val="16"/>
          <w:szCs w:val="16"/>
        </w:rPr>
        <w:t>의</w:t>
      </w:r>
      <w:r w:rsidRPr="00EF2EEC">
        <w:rPr>
          <w:rFonts w:ascii="HY신명조" w:eastAsia="HY신명조" w:hAnsi="나눔고딕" w:cs="나눔고딕" w:hint="eastAsia"/>
          <w:sz w:val="16"/>
          <w:szCs w:val="16"/>
        </w:rPr>
        <w:t xml:space="preserve"> 43개 집단 총수들은 평균 9.5%의 소유권을 가지고 있지만 40.8%의 지배권을 행사한다고 발표함</w:t>
      </w:r>
    </w:p>
    <w:p w14:paraId="716819D9" w14:textId="77777777" w:rsidR="00286A95" w:rsidRPr="00951212" w:rsidRDefault="00286A95">
      <w:pPr>
        <w:spacing w:line="240" w:lineRule="auto"/>
        <w:rPr>
          <w:rFonts w:ascii="나눔고딕" w:eastAsia="나눔고딕" w:hAnsi="나눔고딕" w:cs="나눔고딕"/>
          <w:sz w:val="16"/>
          <w:szCs w:val="16"/>
        </w:rPr>
      </w:pPr>
    </w:p>
  </w:footnote>
  <w:footnote w:id="7">
    <w:p w14:paraId="41B4862E" w14:textId="77777777" w:rsidR="00286A95" w:rsidRPr="007F5E62" w:rsidRDefault="00AB7484" w:rsidP="00783900">
      <w:pPr>
        <w:spacing w:line="240" w:lineRule="auto"/>
        <w:jc w:val="both"/>
        <w:rPr>
          <w:rFonts w:ascii="HY신명조" w:eastAsia="HY신명조" w:hAnsi="나눔고딕" w:cs="나눔고딕"/>
          <w:sz w:val="16"/>
          <w:szCs w:val="16"/>
        </w:rPr>
      </w:pPr>
      <w:r w:rsidRPr="007F5E62">
        <w:rPr>
          <w:rFonts w:ascii="HY신명조" w:eastAsia="HY신명조" w:hAnsi="나눔고딕" w:hint="eastAsia"/>
          <w:sz w:val="16"/>
          <w:szCs w:val="16"/>
          <w:vertAlign w:val="superscript"/>
        </w:rPr>
        <w:footnoteRef/>
      </w:r>
      <w:r w:rsidRPr="007F5E62">
        <w:rPr>
          <w:rFonts w:ascii="HY신명조" w:eastAsia="HY신명조" w:hAnsi="나눔고딕" w:cs="나눔고딕" w:hint="eastAsia"/>
          <w:sz w:val="16"/>
          <w:szCs w:val="16"/>
        </w:rPr>
        <w:t xml:space="preserve"> 자본시장연구원의 M&amp;A 연구 결과에 따르면 M&amp;A시장/GDP 평균: 3.4%(2000~2015년)으로 한국의 경제 규모에 비해 규모가 작은 것으로 지적됨, 2000년 초반 2% 수준에 머물었으나 2015년 7.2%까지 상승함. 그러나 2015년 미국의 10.2%보다는 낮음. 국내 적대적 M&amp;A는 극소수임</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A8A47" w14:textId="77777777" w:rsidR="00C416F0" w:rsidRDefault="00C416F0" w:rsidP="00C416F0">
    <w:pPr>
      <w:pStyle w:val="af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23D14" w14:textId="77777777" w:rsidR="00C416F0" w:rsidRDefault="00C416F0" w:rsidP="00C416F0">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07769" w14:textId="77777777" w:rsidR="00C416F0" w:rsidRDefault="00C416F0">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E0F31"/>
    <w:multiLevelType w:val="multilevel"/>
    <w:tmpl w:val="9836BC3C"/>
    <w:lvl w:ilvl="0">
      <w:start w:val="1"/>
      <w:numFmt w:val="upperRoman"/>
      <w:lvlText w:val="%1."/>
      <w:lvlJc w:val="right"/>
      <w:pPr>
        <w:ind w:left="1800" w:hanging="360"/>
      </w:pPr>
      <w:rPr>
        <w:u w:val="none"/>
      </w:rPr>
    </w:lvl>
    <w:lvl w:ilvl="1">
      <w:start w:val="1"/>
      <w:numFmt w:val="decimal"/>
      <w:lvlText w:val="%2."/>
      <w:lvlJc w:val="left"/>
      <w:pPr>
        <w:ind w:left="2520" w:hanging="360"/>
      </w:pPr>
      <w:rPr>
        <w:u w:val="none"/>
      </w:rPr>
    </w:lvl>
    <w:lvl w:ilvl="2">
      <w:start w:val="1"/>
      <w:numFmt w:val="decimal"/>
      <w:lvlText w:val="%3)"/>
      <w:lvlJc w:val="left"/>
      <w:pPr>
        <w:ind w:left="3240" w:hanging="360"/>
      </w:pPr>
      <w:rPr>
        <w:rFonts w:hint="eastAsia"/>
        <w:u w:val="none"/>
      </w:rPr>
    </w:lvl>
    <w:lvl w:ilvl="3">
      <w:start w:val="1"/>
      <w:numFmt w:val="lowerLetter"/>
      <w:lvlText w:val="%4)"/>
      <w:lvlJc w:val="left"/>
      <w:pPr>
        <w:ind w:left="3960" w:hanging="360"/>
      </w:pPr>
      <w:rPr>
        <w:u w:val="none"/>
      </w:rPr>
    </w:lvl>
    <w:lvl w:ilvl="4">
      <w:start w:val="1"/>
      <w:numFmt w:val="decimal"/>
      <w:lvlText w:val="(%5)"/>
      <w:lvlJc w:val="left"/>
      <w:pPr>
        <w:ind w:left="4680" w:hanging="360"/>
      </w:pPr>
      <w:rPr>
        <w:u w:val="none"/>
      </w:rPr>
    </w:lvl>
    <w:lvl w:ilvl="5">
      <w:start w:val="1"/>
      <w:numFmt w:val="lowerLetter"/>
      <w:lvlText w:val="(%6)"/>
      <w:lvlJc w:val="left"/>
      <w:pPr>
        <w:ind w:left="5400" w:hanging="360"/>
      </w:pPr>
      <w:rPr>
        <w:u w:val="none"/>
      </w:rPr>
    </w:lvl>
    <w:lvl w:ilvl="6">
      <w:start w:val="1"/>
      <w:numFmt w:val="lowerRoman"/>
      <w:lvlText w:val="(%7)"/>
      <w:lvlJc w:val="right"/>
      <w:pPr>
        <w:ind w:left="6120" w:hanging="360"/>
      </w:pPr>
      <w:rPr>
        <w:u w:val="none"/>
      </w:rPr>
    </w:lvl>
    <w:lvl w:ilvl="7">
      <w:start w:val="1"/>
      <w:numFmt w:val="lowerLetter"/>
      <w:lvlText w:val="(%8)"/>
      <w:lvlJc w:val="left"/>
      <w:pPr>
        <w:ind w:left="6840" w:hanging="360"/>
      </w:pPr>
      <w:rPr>
        <w:u w:val="none"/>
      </w:rPr>
    </w:lvl>
    <w:lvl w:ilvl="8">
      <w:start w:val="1"/>
      <w:numFmt w:val="lowerRoman"/>
      <w:lvlText w:val="(%9)"/>
      <w:lvlJc w:val="right"/>
      <w:pPr>
        <w:ind w:left="7560" w:hanging="360"/>
      </w:pPr>
      <w:rPr>
        <w:u w:val="none"/>
      </w:rPr>
    </w:lvl>
  </w:abstractNum>
  <w:abstractNum w:abstractNumId="1" w15:restartNumberingAfterBreak="0">
    <w:nsid w:val="5B633CF2"/>
    <w:multiLevelType w:val="multilevel"/>
    <w:tmpl w:val="BCDA81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FFE3751"/>
    <w:multiLevelType w:val="multilevel"/>
    <w:tmpl w:val="C074D2D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A95"/>
    <w:rsid w:val="00022372"/>
    <w:rsid w:val="00024C86"/>
    <w:rsid w:val="00032B64"/>
    <w:rsid w:val="00040A71"/>
    <w:rsid w:val="00064BFD"/>
    <w:rsid w:val="00072038"/>
    <w:rsid w:val="00093665"/>
    <w:rsid w:val="000979D6"/>
    <w:rsid w:val="000A1E60"/>
    <w:rsid w:val="000A4266"/>
    <w:rsid w:val="000B51D1"/>
    <w:rsid w:val="000B5919"/>
    <w:rsid w:val="000C6105"/>
    <w:rsid w:val="000D653D"/>
    <w:rsid w:val="000E7EA5"/>
    <w:rsid w:val="000F51DA"/>
    <w:rsid w:val="00101AA7"/>
    <w:rsid w:val="001021BC"/>
    <w:rsid w:val="00111B90"/>
    <w:rsid w:val="00114118"/>
    <w:rsid w:val="00115FBF"/>
    <w:rsid w:val="00117637"/>
    <w:rsid w:val="00122718"/>
    <w:rsid w:val="00123EDC"/>
    <w:rsid w:val="00133250"/>
    <w:rsid w:val="00136C05"/>
    <w:rsid w:val="0014611B"/>
    <w:rsid w:val="00146760"/>
    <w:rsid w:val="00150352"/>
    <w:rsid w:val="00153585"/>
    <w:rsid w:val="00182CD5"/>
    <w:rsid w:val="001951F7"/>
    <w:rsid w:val="001A2B09"/>
    <w:rsid w:val="001B61C7"/>
    <w:rsid w:val="001D02AF"/>
    <w:rsid w:val="001D46C1"/>
    <w:rsid w:val="001E2B04"/>
    <w:rsid w:val="0020021F"/>
    <w:rsid w:val="002072F2"/>
    <w:rsid w:val="00212E90"/>
    <w:rsid w:val="002355F2"/>
    <w:rsid w:val="00240BC2"/>
    <w:rsid w:val="00242107"/>
    <w:rsid w:val="00243290"/>
    <w:rsid w:val="0026565F"/>
    <w:rsid w:val="002740D7"/>
    <w:rsid w:val="00286A95"/>
    <w:rsid w:val="002B0ED0"/>
    <w:rsid w:val="002B2E3F"/>
    <w:rsid w:val="002B38B1"/>
    <w:rsid w:val="002B4AC5"/>
    <w:rsid w:val="002C4173"/>
    <w:rsid w:val="002D1594"/>
    <w:rsid w:val="002D2627"/>
    <w:rsid w:val="002D746F"/>
    <w:rsid w:val="00311936"/>
    <w:rsid w:val="00321305"/>
    <w:rsid w:val="00335754"/>
    <w:rsid w:val="00342DC3"/>
    <w:rsid w:val="003671AD"/>
    <w:rsid w:val="00372C73"/>
    <w:rsid w:val="0038102F"/>
    <w:rsid w:val="00382B62"/>
    <w:rsid w:val="003B2125"/>
    <w:rsid w:val="003B2E4F"/>
    <w:rsid w:val="003C3B34"/>
    <w:rsid w:val="003E4D42"/>
    <w:rsid w:val="004211B7"/>
    <w:rsid w:val="00426FF1"/>
    <w:rsid w:val="00436097"/>
    <w:rsid w:val="004434ED"/>
    <w:rsid w:val="00454215"/>
    <w:rsid w:val="00460F75"/>
    <w:rsid w:val="004619D8"/>
    <w:rsid w:val="004717B6"/>
    <w:rsid w:val="00477052"/>
    <w:rsid w:val="00482C79"/>
    <w:rsid w:val="00485BCE"/>
    <w:rsid w:val="00497CF0"/>
    <w:rsid w:val="004A6300"/>
    <w:rsid w:val="004A7DF3"/>
    <w:rsid w:val="004B295F"/>
    <w:rsid w:val="004C043C"/>
    <w:rsid w:val="004D0D54"/>
    <w:rsid w:val="004E6899"/>
    <w:rsid w:val="004F0A45"/>
    <w:rsid w:val="005165D4"/>
    <w:rsid w:val="005239E4"/>
    <w:rsid w:val="00534A41"/>
    <w:rsid w:val="00550CC0"/>
    <w:rsid w:val="005770A3"/>
    <w:rsid w:val="0059544D"/>
    <w:rsid w:val="005A06DA"/>
    <w:rsid w:val="005B4D28"/>
    <w:rsid w:val="005D288A"/>
    <w:rsid w:val="005E5891"/>
    <w:rsid w:val="005F1AD1"/>
    <w:rsid w:val="005F3BE5"/>
    <w:rsid w:val="005F5DB2"/>
    <w:rsid w:val="00621390"/>
    <w:rsid w:val="006244A7"/>
    <w:rsid w:val="00635865"/>
    <w:rsid w:val="00643B5F"/>
    <w:rsid w:val="00655CB7"/>
    <w:rsid w:val="00662D21"/>
    <w:rsid w:val="006737C2"/>
    <w:rsid w:val="00677952"/>
    <w:rsid w:val="00682012"/>
    <w:rsid w:val="00687979"/>
    <w:rsid w:val="00691B80"/>
    <w:rsid w:val="00695A10"/>
    <w:rsid w:val="006A641B"/>
    <w:rsid w:val="006A6B47"/>
    <w:rsid w:val="006B15EE"/>
    <w:rsid w:val="006B51AC"/>
    <w:rsid w:val="006C5DB3"/>
    <w:rsid w:val="006D3162"/>
    <w:rsid w:val="006E372C"/>
    <w:rsid w:val="006E76C5"/>
    <w:rsid w:val="0072104A"/>
    <w:rsid w:val="00733F53"/>
    <w:rsid w:val="00735CAD"/>
    <w:rsid w:val="00740455"/>
    <w:rsid w:val="00750084"/>
    <w:rsid w:val="00753CEA"/>
    <w:rsid w:val="00756D3F"/>
    <w:rsid w:val="00760223"/>
    <w:rsid w:val="007655F0"/>
    <w:rsid w:val="00783900"/>
    <w:rsid w:val="0078447D"/>
    <w:rsid w:val="00786906"/>
    <w:rsid w:val="00795FD9"/>
    <w:rsid w:val="007978B3"/>
    <w:rsid w:val="007A2C11"/>
    <w:rsid w:val="007A6E6B"/>
    <w:rsid w:val="007B7C39"/>
    <w:rsid w:val="007E744A"/>
    <w:rsid w:val="007F03AB"/>
    <w:rsid w:val="007F5E62"/>
    <w:rsid w:val="00800D5F"/>
    <w:rsid w:val="00802764"/>
    <w:rsid w:val="0081082A"/>
    <w:rsid w:val="00820BE2"/>
    <w:rsid w:val="00821A6D"/>
    <w:rsid w:val="00822E5E"/>
    <w:rsid w:val="008246E2"/>
    <w:rsid w:val="00831FA6"/>
    <w:rsid w:val="008410D2"/>
    <w:rsid w:val="008429DF"/>
    <w:rsid w:val="00851691"/>
    <w:rsid w:val="0086133D"/>
    <w:rsid w:val="008628A2"/>
    <w:rsid w:val="008701E3"/>
    <w:rsid w:val="00883A62"/>
    <w:rsid w:val="00886AD5"/>
    <w:rsid w:val="008977A7"/>
    <w:rsid w:val="008A4AC1"/>
    <w:rsid w:val="008E387A"/>
    <w:rsid w:val="0090118F"/>
    <w:rsid w:val="00931A12"/>
    <w:rsid w:val="00932411"/>
    <w:rsid w:val="00942B74"/>
    <w:rsid w:val="00950F6F"/>
    <w:rsid w:val="00951212"/>
    <w:rsid w:val="00977A6D"/>
    <w:rsid w:val="0098193E"/>
    <w:rsid w:val="009A2744"/>
    <w:rsid w:val="009A2D10"/>
    <w:rsid w:val="009B04E3"/>
    <w:rsid w:val="009E4C24"/>
    <w:rsid w:val="009E641C"/>
    <w:rsid w:val="009F18BA"/>
    <w:rsid w:val="009F2ACE"/>
    <w:rsid w:val="00A13880"/>
    <w:rsid w:val="00A244A0"/>
    <w:rsid w:val="00A268C9"/>
    <w:rsid w:val="00A37E1F"/>
    <w:rsid w:val="00A530D1"/>
    <w:rsid w:val="00A62547"/>
    <w:rsid w:val="00A66F14"/>
    <w:rsid w:val="00A67440"/>
    <w:rsid w:val="00A7177F"/>
    <w:rsid w:val="00A7411B"/>
    <w:rsid w:val="00A80775"/>
    <w:rsid w:val="00A90DD1"/>
    <w:rsid w:val="00AB2546"/>
    <w:rsid w:val="00AB3312"/>
    <w:rsid w:val="00AB5C9C"/>
    <w:rsid w:val="00AB7484"/>
    <w:rsid w:val="00AB7DAD"/>
    <w:rsid w:val="00AD012C"/>
    <w:rsid w:val="00AD08EC"/>
    <w:rsid w:val="00AD7F3D"/>
    <w:rsid w:val="00AF3939"/>
    <w:rsid w:val="00AF55A6"/>
    <w:rsid w:val="00B138FB"/>
    <w:rsid w:val="00B15F32"/>
    <w:rsid w:val="00B21B25"/>
    <w:rsid w:val="00B2510B"/>
    <w:rsid w:val="00B26A66"/>
    <w:rsid w:val="00B320DF"/>
    <w:rsid w:val="00B4109C"/>
    <w:rsid w:val="00B53072"/>
    <w:rsid w:val="00B60669"/>
    <w:rsid w:val="00B62EC3"/>
    <w:rsid w:val="00B73C0C"/>
    <w:rsid w:val="00B73D83"/>
    <w:rsid w:val="00B91AE2"/>
    <w:rsid w:val="00BA1256"/>
    <w:rsid w:val="00BA29DF"/>
    <w:rsid w:val="00BB6845"/>
    <w:rsid w:val="00BC4A9A"/>
    <w:rsid w:val="00BD50C6"/>
    <w:rsid w:val="00BF2C50"/>
    <w:rsid w:val="00BF5C4B"/>
    <w:rsid w:val="00C013FC"/>
    <w:rsid w:val="00C065EA"/>
    <w:rsid w:val="00C16818"/>
    <w:rsid w:val="00C37BDE"/>
    <w:rsid w:val="00C416F0"/>
    <w:rsid w:val="00C4553A"/>
    <w:rsid w:val="00C45E09"/>
    <w:rsid w:val="00C577B1"/>
    <w:rsid w:val="00C73EA7"/>
    <w:rsid w:val="00C831C9"/>
    <w:rsid w:val="00C96DE9"/>
    <w:rsid w:val="00CA15F8"/>
    <w:rsid w:val="00CA2D80"/>
    <w:rsid w:val="00CA37D2"/>
    <w:rsid w:val="00CA5E9A"/>
    <w:rsid w:val="00CB209C"/>
    <w:rsid w:val="00CC0537"/>
    <w:rsid w:val="00CD63C7"/>
    <w:rsid w:val="00CE0420"/>
    <w:rsid w:val="00CF0E47"/>
    <w:rsid w:val="00CF2EC1"/>
    <w:rsid w:val="00CF3AD6"/>
    <w:rsid w:val="00D02165"/>
    <w:rsid w:val="00D06A9A"/>
    <w:rsid w:val="00D11541"/>
    <w:rsid w:val="00D13193"/>
    <w:rsid w:val="00D15C4C"/>
    <w:rsid w:val="00D570FF"/>
    <w:rsid w:val="00D63DA3"/>
    <w:rsid w:val="00D70CAD"/>
    <w:rsid w:val="00D74376"/>
    <w:rsid w:val="00D7781B"/>
    <w:rsid w:val="00DA188F"/>
    <w:rsid w:val="00DC2EFA"/>
    <w:rsid w:val="00DE20E3"/>
    <w:rsid w:val="00DF5621"/>
    <w:rsid w:val="00DF7044"/>
    <w:rsid w:val="00E017DF"/>
    <w:rsid w:val="00E06AD4"/>
    <w:rsid w:val="00E1715D"/>
    <w:rsid w:val="00E1733F"/>
    <w:rsid w:val="00E35ED0"/>
    <w:rsid w:val="00E42D59"/>
    <w:rsid w:val="00E46CE8"/>
    <w:rsid w:val="00E574AA"/>
    <w:rsid w:val="00E70BE7"/>
    <w:rsid w:val="00E74893"/>
    <w:rsid w:val="00E75F50"/>
    <w:rsid w:val="00EC2C69"/>
    <w:rsid w:val="00EC3A86"/>
    <w:rsid w:val="00ED6353"/>
    <w:rsid w:val="00EE23A9"/>
    <w:rsid w:val="00EF138A"/>
    <w:rsid w:val="00EF1486"/>
    <w:rsid w:val="00EF2EEC"/>
    <w:rsid w:val="00F0410F"/>
    <w:rsid w:val="00F07ED8"/>
    <w:rsid w:val="00F16CDC"/>
    <w:rsid w:val="00F343B6"/>
    <w:rsid w:val="00F54755"/>
    <w:rsid w:val="00F633EC"/>
    <w:rsid w:val="00F677B2"/>
    <w:rsid w:val="00F8220B"/>
    <w:rsid w:val="00F9452D"/>
    <w:rsid w:val="00FA054E"/>
    <w:rsid w:val="00FA3EB4"/>
    <w:rsid w:val="00FA4927"/>
    <w:rsid w:val="00FA687D"/>
    <w:rsid w:val="00FC1838"/>
    <w:rsid w:val="00FC236B"/>
    <w:rsid w:val="00FC271A"/>
    <w:rsid w:val="00FD0E62"/>
    <w:rsid w:val="00FD7C01"/>
    <w:rsid w:val="00FF43C0"/>
    <w:rsid w:val="00FF5CE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413D4"/>
  <w15:docId w15:val="{3BAEB2FA-F9CC-46CC-B6C0-29E272286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Arial"/>
        <w:sz w:val="22"/>
        <w:szCs w:val="22"/>
        <w:lang w:val="ko" w:eastAsia="ko-K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paragraph" w:styleId="a9">
    <w:name w:val="List Paragraph"/>
    <w:basedOn w:val="a"/>
    <w:uiPriority w:val="34"/>
    <w:qFormat/>
    <w:rsid w:val="00E1733F"/>
    <w:pPr>
      <w:ind w:leftChars="400" w:left="800"/>
    </w:pPr>
  </w:style>
  <w:style w:type="character" w:styleId="aa">
    <w:name w:val="annotation reference"/>
    <w:basedOn w:val="a0"/>
    <w:uiPriority w:val="99"/>
    <w:semiHidden/>
    <w:unhideWhenUsed/>
    <w:rsid w:val="0078447D"/>
    <w:rPr>
      <w:sz w:val="18"/>
      <w:szCs w:val="18"/>
    </w:rPr>
  </w:style>
  <w:style w:type="paragraph" w:styleId="ab">
    <w:name w:val="annotation text"/>
    <w:basedOn w:val="a"/>
    <w:link w:val="Char"/>
    <w:uiPriority w:val="99"/>
    <w:semiHidden/>
    <w:unhideWhenUsed/>
    <w:rsid w:val="0078447D"/>
  </w:style>
  <w:style w:type="character" w:customStyle="1" w:styleId="Char">
    <w:name w:val="메모 텍스트 Char"/>
    <w:basedOn w:val="a0"/>
    <w:link w:val="ab"/>
    <w:uiPriority w:val="99"/>
    <w:semiHidden/>
    <w:rsid w:val="0078447D"/>
  </w:style>
  <w:style w:type="paragraph" w:styleId="ac">
    <w:name w:val="annotation subject"/>
    <w:basedOn w:val="ab"/>
    <w:next w:val="ab"/>
    <w:link w:val="Char0"/>
    <w:uiPriority w:val="99"/>
    <w:semiHidden/>
    <w:unhideWhenUsed/>
    <w:rsid w:val="0078447D"/>
    <w:rPr>
      <w:b/>
      <w:bCs/>
    </w:rPr>
  </w:style>
  <w:style w:type="character" w:customStyle="1" w:styleId="Char0">
    <w:name w:val="메모 주제 Char"/>
    <w:basedOn w:val="Char"/>
    <w:link w:val="ac"/>
    <w:uiPriority w:val="99"/>
    <w:semiHidden/>
    <w:rsid w:val="0078447D"/>
    <w:rPr>
      <w:b/>
      <w:bCs/>
    </w:rPr>
  </w:style>
  <w:style w:type="paragraph" w:styleId="ad">
    <w:name w:val="endnote text"/>
    <w:basedOn w:val="a"/>
    <w:link w:val="Char1"/>
    <w:uiPriority w:val="99"/>
    <w:semiHidden/>
    <w:unhideWhenUsed/>
    <w:rsid w:val="00BF2C50"/>
    <w:pPr>
      <w:snapToGrid w:val="0"/>
    </w:pPr>
  </w:style>
  <w:style w:type="character" w:customStyle="1" w:styleId="Char1">
    <w:name w:val="미주 텍스트 Char"/>
    <w:basedOn w:val="a0"/>
    <w:link w:val="ad"/>
    <w:uiPriority w:val="99"/>
    <w:semiHidden/>
    <w:rsid w:val="00BF2C50"/>
  </w:style>
  <w:style w:type="character" w:styleId="ae">
    <w:name w:val="endnote reference"/>
    <w:basedOn w:val="a0"/>
    <w:uiPriority w:val="99"/>
    <w:semiHidden/>
    <w:unhideWhenUsed/>
    <w:rsid w:val="00BF2C50"/>
    <w:rPr>
      <w:vertAlign w:val="superscript"/>
    </w:rPr>
  </w:style>
  <w:style w:type="paragraph" w:styleId="af">
    <w:name w:val="footnote text"/>
    <w:basedOn w:val="a"/>
    <w:link w:val="Char2"/>
    <w:uiPriority w:val="99"/>
    <w:semiHidden/>
    <w:unhideWhenUsed/>
    <w:rsid w:val="00BF2C50"/>
    <w:pPr>
      <w:snapToGrid w:val="0"/>
    </w:pPr>
  </w:style>
  <w:style w:type="character" w:customStyle="1" w:styleId="Char2">
    <w:name w:val="각주 텍스트 Char"/>
    <w:basedOn w:val="a0"/>
    <w:link w:val="af"/>
    <w:uiPriority w:val="99"/>
    <w:semiHidden/>
    <w:rsid w:val="00BF2C50"/>
  </w:style>
  <w:style w:type="character" w:styleId="af0">
    <w:name w:val="footnote reference"/>
    <w:basedOn w:val="a0"/>
    <w:uiPriority w:val="99"/>
    <w:semiHidden/>
    <w:unhideWhenUsed/>
    <w:rsid w:val="00BF2C50"/>
    <w:rPr>
      <w:vertAlign w:val="superscript"/>
    </w:rPr>
  </w:style>
  <w:style w:type="character" w:styleId="af1">
    <w:name w:val="Hyperlink"/>
    <w:basedOn w:val="a0"/>
    <w:uiPriority w:val="99"/>
    <w:unhideWhenUsed/>
    <w:rsid w:val="00AB5C9C"/>
    <w:rPr>
      <w:color w:val="0000FF" w:themeColor="hyperlink"/>
      <w:u w:val="single"/>
    </w:rPr>
  </w:style>
  <w:style w:type="character" w:styleId="af2">
    <w:name w:val="Unresolved Mention"/>
    <w:basedOn w:val="a0"/>
    <w:uiPriority w:val="99"/>
    <w:semiHidden/>
    <w:unhideWhenUsed/>
    <w:rsid w:val="00AB5C9C"/>
    <w:rPr>
      <w:color w:val="605E5C"/>
      <w:shd w:val="clear" w:color="auto" w:fill="E1DFDD"/>
    </w:rPr>
  </w:style>
  <w:style w:type="paragraph" w:styleId="af3">
    <w:name w:val="header"/>
    <w:basedOn w:val="a"/>
    <w:link w:val="Char3"/>
    <w:uiPriority w:val="99"/>
    <w:unhideWhenUsed/>
    <w:rsid w:val="00C416F0"/>
    <w:pPr>
      <w:tabs>
        <w:tab w:val="center" w:pos="4513"/>
        <w:tab w:val="right" w:pos="9026"/>
      </w:tabs>
      <w:snapToGrid w:val="0"/>
    </w:pPr>
  </w:style>
  <w:style w:type="character" w:customStyle="1" w:styleId="Char3">
    <w:name w:val="머리글 Char"/>
    <w:basedOn w:val="a0"/>
    <w:link w:val="af3"/>
    <w:uiPriority w:val="99"/>
    <w:rsid w:val="00C416F0"/>
  </w:style>
  <w:style w:type="paragraph" w:styleId="af4">
    <w:name w:val="footer"/>
    <w:basedOn w:val="a"/>
    <w:link w:val="Char4"/>
    <w:uiPriority w:val="99"/>
    <w:unhideWhenUsed/>
    <w:rsid w:val="00C416F0"/>
    <w:pPr>
      <w:tabs>
        <w:tab w:val="center" w:pos="4513"/>
        <w:tab w:val="right" w:pos="9026"/>
      </w:tabs>
      <w:snapToGrid w:val="0"/>
    </w:pPr>
  </w:style>
  <w:style w:type="character" w:customStyle="1" w:styleId="Char4">
    <w:name w:val="바닥글 Char"/>
    <w:basedOn w:val="a0"/>
    <w:link w:val="af4"/>
    <w:uiPriority w:val="99"/>
    <w:rsid w:val="00C416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9780">
      <w:bodyDiv w:val="1"/>
      <w:marLeft w:val="0"/>
      <w:marRight w:val="0"/>
      <w:marTop w:val="0"/>
      <w:marBottom w:val="0"/>
      <w:divBdr>
        <w:top w:val="none" w:sz="0" w:space="0" w:color="auto"/>
        <w:left w:val="none" w:sz="0" w:space="0" w:color="auto"/>
        <w:bottom w:val="none" w:sz="0" w:space="0" w:color="auto"/>
        <w:right w:val="none" w:sz="0" w:space="0" w:color="auto"/>
      </w:divBdr>
    </w:div>
    <w:div w:id="189221945">
      <w:bodyDiv w:val="1"/>
      <w:marLeft w:val="0"/>
      <w:marRight w:val="0"/>
      <w:marTop w:val="0"/>
      <w:marBottom w:val="0"/>
      <w:divBdr>
        <w:top w:val="none" w:sz="0" w:space="0" w:color="auto"/>
        <w:left w:val="none" w:sz="0" w:space="0" w:color="auto"/>
        <w:bottom w:val="none" w:sz="0" w:space="0" w:color="auto"/>
        <w:right w:val="none" w:sz="0" w:space="0" w:color="auto"/>
      </w:divBdr>
    </w:div>
    <w:div w:id="273900638">
      <w:bodyDiv w:val="1"/>
      <w:marLeft w:val="0"/>
      <w:marRight w:val="0"/>
      <w:marTop w:val="0"/>
      <w:marBottom w:val="0"/>
      <w:divBdr>
        <w:top w:val="none" w:sz="0" w:space="0" w:color="auto"/>
        <w:left w:val="none" w:sz="0" w:space="0" w:color="auto"/>
        <w:bottom w:val="none" w:sz="0" w:space="0" w:color="auto"/>
        <w:right w:val="none" w:sz="0" w:space="0" w:color="auto"/>
      </w:divBdr>
    </w:div>
    <w:div w:id="365715548">
      <w:bodyDiv w:val="1"/>
      <w:marLeft w:val="0"/>
      <w:marRight w:val="0"/>
      <w:marTop w:val="0"/>
      <w:marBottom w:val="0"/>
      <w:divBdr>
        <w:top w:val="none" w:sz="0" w:space="0" w:color="auto"/>
        <w:left w:val="none" w:sz="0" w:space="0" w:color="auto"/>
        <w:bottom w:val="none" w:sz="0" w:space="0" w:color="auto"/>
        <w:right w:val="none" w:sz="0" w:space="0" w:color="auto"/>
      </w:divBdr>
    </w:div>
    <w:div w:id="494537726">
      <w:bodyDiv w:val="1"/>
      <w:marLeft w:val="0"/>
      <w:marRight w:val="0"/>
      <w:marTop w:val="0"/>
      <w:marBottom w:val="0"/>
      <w:divBdr>
        <w:top w:val="none" w:sz="0" w:space="0" w:color="auto"/>
        <w:left w:val="none" w:sz="0" w:space="0" w:color="auto"/>
        <w:bottom w:val="none" w:sz="0" w:space="0" w:color="auto"/>
        <w:right w:val="none" w:sz="0" w:space="0" w:color="auto"/>
      </w:divBdr>
    </w:div>
    <w:div w:id="968783406">
      <w:bodyDiv w:val="1"/>
      <w:marLeft w:val="0"/>
      <w:marRight w:val="0"/>
      <w:marTop w:val="0"/>
      <w:marBottom w:val="0"/>
      <w:divBdr>
        <w:top w:val="none" w:sz="0" w:space="0" w:color="auto"/>
        <w:left w:val="none" w:sz="0" w:space="0" w:color="auto"/>
        <w:bottom w:val="none" w:sz="0" w:space="0" w:color="auto"/>
        <w:right w:val="none" w:sz="0" w:space="0" w:color="auto"/>
      </w:divBdr>
    </w:div>
    <w:div w:id="14444188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zed@naver.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oo_hyun.kim@ssu.ac.kr"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A73BA1-ED63-4C6C-8843-9F3F8E80D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30</Pages>
  <Words>3965</Words>
  <Characters>22604</Characters>
  <Application>Microsoft Office Word</Application>
  <DocSecurity>0</DocSecurity>
  <Lines>188</Lines>
  <Paragraphs>53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26516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이승훈</cp:lastModifiedBy>
  <cp:revision>72</cp:revision>
  <dcterms:created xsi:type="dcterms:W3CDTF">2021-05-26T07:33:00Z</dcterms:created>
  <dcterms:modified xsi:type="dcterms:W3CDTF">2021-05-27T10:51:00Z</dcterms:modified>
</cp:coreProperties>
</file>